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Isobaric Vapor–Liquid Equilibria for Binary Mixtures of Adiponitrile + 2-Methylglutaronitrile and Adiponitrile + Trans-3-pentenenitrile at 5 kPa and 10 kPa | Journal of Chemical &amp; Engineering Data</w:t></w:r><w:br/><w:hyperlink r:id="rId7" w:history="1"><w:r><w:rPr><w:color w:val="2980b9"/><w:u w:val="single"/></w:rPr><w:t xml:space="preserve">https://pubs.acs.org/doi/10.1021/acs.jced.1c00961?fig=fig1&ref=pdf</w:t></w:r></w:hyperlink></w:p><w:p><w:pPr><w:pStyle w:val="Heading1"/></w:pPr><w:bookmarkStart w:id="2" w:name="_Toc2"/><w:r><w:t>Article summary:</w:t></w:r><w:bookmarkEnd w:id="2"/></w:p><w:p><w:pPr><w:jc w:val="both"/></w:pPr><w:r><w:rPr/><w:t xml:space="preserve">1. 随着尼龙 6,6 工业的快速发展，对己二腈的需求不断增加。</w:t></w:r></w:p><w:p><w:pPr><w:jc w:val="both"/></w:pPr><w:r><w:rPr/><w:t xml:space="preserve">2. 己二腈和 2-甲基戊二腈、反-3-戊烯基腈的等压汽液平衡数据在低压下测量并分析，为相关分离提供理论依据。</w:t></w:r></w:p><w:p><w:pPr><w:jc w:val="both"/></w:pPr><w:r><w:rPr/><w:t xml:space="preserve">3. 在当前已发布的数据中，这些混合物是在低压下进行蒸馏条件下分离的。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论文，该文章并没有明显的偏见或宣传内容。然而，在其研究对象和目的方面存在一些局限性和片面性。文章主要关注了两种化合物之间的相平衡数据，但并未探讨这些化合物在实际应用中可能存在的风险或问题。此外，文章也没有提供足够的证据来支持其所得出的结论。</w:t></w:r></w:p><w:p><w:pPr><w:jc w:val="both"/></w:pPr><w:r><w:rPr/><w:t xml:space="preserve"></w:t></w:r></w:p><w:p><w:pPr><w:jc w:val="both"/></w:pPr><w:r><w:rPr/><w:t xml:space="preserve">另外，文章也没有考虑到其他可能影响相平衡数据的因素，例如温度、压力等变量。这些因素对于实际应用中的分离过程非常重要，因此忽略它们可能会导致结果不准确或无法适用于实际情况。</w:t></w:r></w:p><w:p><w:pPr><w:jc w:val="both"/></w:pPr><w:r><w:rPr/><w:t xml:space="preserve"></w:t></w:r></w:p><w:p><w:pPr><w:jc w:val="both"/></w:pPr><w:r><w:rPr/><w:t xml:space="preserve">总体而言，该文章是一篇比较专业和技术性较强的研究论文，但需要更多细节和证据来支持其结论，并且需要更全面地考虑相关问题和风险。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and biases in the research
</w:t></w:r></w:p><w:p><w:pPr><w:spacing w:after="0"/><w:numPr><w:ilvl w:val="0"/><w:numId w:val="2"/></w:numPr></w:pPr><w:r><w:rPr/><w:t xml:space="preserve">Risks and issues in the practical application of the compounds
</w:t></w:r></w:p><w:p><w:pPr><w:spacing w:after="0"/><w:numPr><w:ilvl w:val="0"/><w:numId w:val="2"/></w:numPr></w:pPr><w:r><w:rPr/><w:t xml:space="preserve">Insufficient evidence to support the conclusions
</w:t></w:r></w:p><w:p><w:pPr><w:spacing w:after="0"/><w:numPr><w:ilvl w:val="0"/><w:numId w:val="2"/></w:numPr></w:pPr><w:r><w:rPr/><w:t xml:space="preserve">Other factors that may affect the equilibrium data
</w:t></w:r></w:p><w:p><w:pPr><w:spacing w:after="0"/><w:numPr><w:ilvl w:val="0"/><w:numId w:val="2"/></w:numPr></w:pPr><w:r><w:rPr/><w:t xml:space="preserve">Need for more details and evidence to support the conclusions
</w:t></w:r></w:p><w:p><w:pPr><w:numPr><w:ilvl w:val="0"/><w:numId w:val="2"/></w:numPr></w:pPr><w:r><w:rPr/><w:t xml:space="preserve">Comprehensive consideration of related issues and risks.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https://www.fullpicture.app/item/cd42d7036a5fa8eca131c9f8f438d633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CBE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jced.1c00961?fig=fig1&amp;ref=pdf" TargetMode="External"/><Relationship Id="rId8" Type="http://schemas.openxmlformats.org/officeDocument/2006/relationships/hyperlink" Target="https://www.fullpicture.app/item/cd42d7036a5fa8eca131c9f8f438d6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2023-12-20T22:27:12+01:00</dcterms:created>
  <dcterms:modified xsi:type="dcterms:W3CDTF">2023-12-20T22:27:12+01:00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