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 resistome alteration along a full-scale drinking water supply system deciphered by metagenome assembly: Regulated by seasonality, mobile gene elements and antibiotic resistant gene hosts - ScienceDirect</w:t>
      </w:r>
      <w:br/>
      <w:hyperlink r:id="rId7" w:history="1">
        <w:r>
          <w:rPr>
            <w:color w:val="2980b9"/>
            <w:u w:val="single"/>
          </w:rPr>
          <w:t xml:space="preserve">https://www.sciencedirect.com/science/article/pii/S0048969722079906?casa_token=mUqfuUn2ekUAAAAA%3AUGnPsW7gIjmqzGCQWhsdycGtRZlodl1SCt6doQ_nGUzmjTolv4KM6aG4tIRhhDkCOzzc7k-O8po</w:t>
        </w:r>
      </w:hyperlink>
    </w:p>
    <w:p>
      <w:pPr>
        <w:pStyle w:val="Heading1"/>
      </w:pPr>
      <w:bookmarkStart w:id="2" w:name="_Toc2"/>
      <w:r>
        <w:t>Article summary:</w:t>
      </w:r>
      <w:bookmarkEnd w:id="2"/>
    </w:p>
    <w:p>
      <w:pPr>
        <w:jc w:val="both"/>
      </w:pPr>
      <w:r>
        <w:rPr/>
        <w:t xml:space="preserve">1. 饮用水处理和输送过程会影响微生物群落和抗生素耐药基因（ARG）的变化，受季节性影响。</w:t>
      </w:r>
    </w:p>
    <w:p>
      <w:pPr>
        <w:jc w:val="both"/>
      </w:pPr>
      <w:r>
        <w:rPr/>
        <w:t xml:space="preserve">2. 移动基因元件（MGEs）和多样的ARG宿主在温暖季节中促进了ARG的增殖。</w:t>
      </w:r>
    </w:p>
    <w:p>
      <w:pPr>
        <w:jc w:val="both"/>
      </w:pPr>
      <w:r>
        <w:rPr/>
        <w:t xml:space="preserve">3. 微生物群落是决定饮用水抗生素耐药基因组成的最重要因素。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作为一篇科学研究论文，该文章提供了对饮用水处理和分配过程中抗生素耐药基因（ARGs）变化的深入探讨。然而，该文章存在一些潜在的偏见和局限性。</w:t>
      </w:r>
    </w:p>
    <w:p>
      <w:pPr>
        <w:jc w:val="both"/>
      </w:pPr>
      <w:r>
        <w:rPr/>
        <w:t xml:space="preserve"/>
      </w:r>
    </w:p>
    <w:p>
      <w:pPr>
        <w:jc w:val="both"/>
      </w:pPr>
      <w:r>
        <w:rPr/>
        <w:t xml:space="preserve">首先，该文章没有考虑到可能存在的风险。例如，它没有探讨抗生素耐药基因在饮用水中的潜在危害以及如何减少这种危害。此外，该文章也没有涉及到如何监测和管理饮用水中的抗生素耐药基因。</w:t>
      </w:r>
    </w:p>
    <w:p>
      <w:pPr>
        <w:jc w:val="both"/>
      </w:pPr>
      <w:r>
        <w:rPr/>
        <w:t xml:space="preserve"/>
      </w:r>
    </w:p>
    <w:p>
      <w:pPr>
        <w:jc w:val="both"/>
      </w:pPr>
      <w:r>
        <w:rPr/>
        <w:t xml:space="preserve">其次，该文章可能存在片面报道。例如，在描述微生物群落时，它只提到了Limnohabitans和Polynucleobacter等特定细菌，并未全面考虑其他微生物群落对ARGs变化的影响。</w:t>
      </w:r>
    </w:p>
    <w:p>
      <w:pPr>
        <w:jc w:val="both"/>
      </w:pPr>
      <w:r>
        <w:rPr/>
        <w:t xml:space="preserve"/>
      </w:r>
    </w:p>
    <w:p>
      <w:pPr>
        <w:jc w:val="both"/>
      </w:pPr>
      <w:r>
        <w:rPr/>
        <w:t xml:space="preserve">此外，该文章提出了一些主张但缺乏充分证据支持。例如，在描述消毒处理对ARGs相对丰度的影响时，它声称氯气能够杀死ARB从而减少ARGs数量，但并未提供足够的数据来支持这个主张。</w:t>
      </w:r>
    </w:p>
    <w:p>
      <w:pPr>
        <w:jc w:val="both"/>
      </w:pPr>
      <w:r>
        <w:rPr/>
        <w:t xml:space="preserve"/>
      </w:r>
    </w:p>
    <w:p>
      <w:pPr>
        <w:jc w:val="both"/>
      </w:pPr>
      <w:r>
        <w:rPr/>
        <w:t xml:space="preserve">最后，该文章可能存在偏袒现象。例如，在描述管道分配过程中ARGs富集的影响因素时，它强调了温度的作用，但并未考虑其他可能的因素，如水流速度和管道材料等。</w:t>
      </w:r>
    </w:p>
    <w:p>
      <w:pPr>
        <w:jc w:val="both"/>
      </w:pPr>
      <w:r>
        <w:rPr/>
        <w:t xml:space="preserve"/>
      </w:r>
    </w:p>
    <w:p>
      <w:pPr>
        <w:jc w:val="both"/>
      </w:pPr>
      <w:r>
        <w:rPr/>
        <w:t xml:space="preserve">综上所述，该文章提供了对饮用水中ARGs变化的深入探讨，但也存在一些潜在的偏见和局限性。为了更全面地理解饮用水中ARGs变化的影响因素和潜在危害，需要进一步研究和探索。</w:t>
      </w:r>
    </w:p>
    <w:p>
      <w:pPr>
        <w:pStyle w:val="Heading1"/>
      </w:pPr>
      <w:bookmarkStart w:id="5" w:name="_Toc5"/>
      <w:r>
        <w:t>Topics for further research:</w:t>
      </w:r>
      <w:bookmarkEnd w:id="5"/>
    </w:p>
    <w:p>
      <w:pPr>
        <w:spacing w:after="0"/>
        <w:numPr>
          <w:ilvl w:val="0"/>
          <w:numId w:val="2"/>
        </w:numPr>
      </w:pPr>
      <w:r>
        <w:rPr/>
        <w:t xml:space="preserve">Potential risks of antibiotic resistance genes in drinking water
</w:t>
      </w:r>
    </w:p>
    <w:p>
      <w:pPr>
        <w:spacing w:after="0"/>
        <w:numPr>
          <w:ilvl w:val="0"/>
          <w:numId w:val="2"/>
        </w:numPr>
      </w:pPr>
      <w:r>
        <w:rPr/>
        <w:t xml:space="preserve">Monitoring and management of antibiotic resistance genes in drinking water
</w:t>
      </w:r>
    </w:p>
    <w:p>
      <w:pPr>
        <w:spacing w:after="0"/>
        <w:numPr>
          <w:ilvl w:val="0"/>
          <w:numId w:val="2"/>
        </w:numPr>
      </w:pPr>
      <w:r>
        <w:rPr/>
        <w:t xml:space="preserve">Impact of other microbial communities on antibiotic resistance gene changes
</w:t>
      </w:r>
    </w:p>
    <w:p>
      <w:pPr>
        <w:spacing w:after="0"/>
        <w:numPr>
          <w:ilvl w:val="0"/>
          <w:numId w:val="2"/>
        </w:numPr>
      </w:pPr>
      <w:r>
        <w:rPr/>
        <w:t xml:space="preserve">Evidence supporting the claim that chlorine can reduce antibiotic resistance genes
</w:t>
      </w:r>
    </w:p>
    <w:p>
      <w:pPr>
        <w:spacing w:after="0"/>
        <w:numPr>
          <w:ilvl w:val="0"/>
          <w:numId w:val="2"/>
        </w:numPr>
      </w:pPr>
      <w:r>
        <w:rPr/>
        <w:t xml:space="preserve">Other factors affecting antibiotic resistance gene enrichment in pipeline distribution
</w:t>
      </w:r>
    </w:p>
    <w:p>
      <w:pPr>
        <w:numPr>
          <w:ilvl w:val="0"/>
          <w:numId w:val="2"/>
        </w:numPr>
      </w:pPr>
      <w:r>
        <w:rPr/>
        <w:t xml:space="preserve">Further research on the impact and potential hazards of antibiotic resistance genes in drinking water</w:t>
      </w:r>
    </w:p>
    <w:p>
      <w:pPr>
        <w:pStyle w:val="Heading1"/>
      </w:pPr>
      <w:bookmarkStart w:id="6" w:name="_Toc6"/>
      <w:r>
        <w:t>Report location:</w:t>
      </w:r>
      <w:bookmarkEnd w:id="6"/>
    </w:p>
    <w:p>
      <w:hyperlink r:id="rId8" w:history="1">
        <w:r>
          <w:rPr>
            <w:color w:val="2980b9"/>
            <w:u w:val="single"/>
          </w:rPr>
          <w:t xml:space="preserve">https://www.fullpicture.app/item/cd85da3349e5c80520a5f49621ca7506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E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9906?casa_token=mUqfuUn2ekUAAAAA%3AUGnPsW7gIjmqzGCQWhsdycGtRZlodl1SCt6doQ_nGUzmjTolv4KM6aG4tIRhhDkCOzzc7k-O8po" TargetMode="External"/><Relationship Id="rId8" Type="http://schemas.openxmlformats.org/officeDocument/2006/relationships/hyperlink" Target="https://www.fullpicture.app/item/cd85da3349e5c80520a5f49621ca7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2024-01-12T19:15:37+01:00</dcterms:created>
  <dcterms:modified xsi:type="dcterms:W3CDTF">2024-01-12T19:15:37+01:00</dcterms:modified>
</cp:coreProperties>
</file>

<file path=docProps/custom.xml><?xml version="1.0" encoding="utf-8"?>
<Properties xmlns="http://schemas.openxmlformats.org/officeDocument/2006/custom-properties" xmlns:vt="http://schemas.openxmlformats.org/officeDocument/2006/docPropsVTypes"/>
</file>