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基于县域尺度乡村地域多功能空间分异特征及类型划分——以湖南省为例 - 中国知网</w:t></w:r><w:br/><w:hyperlink r:id="rId7" w:history="1"><w:r><w:rPr><w:color w:val="2980b9"/><w:u w:val="single"/></w:rPr><w:t xml:space="preserve">https://kns.cnki.net/kcms2/article/abstract?v=3uoqIhG8C44YLTlOAiTRKibYlV5Vjs7iy_Rpms2pqwbFRRUtoUImHXV1TLW2pRZWz5ZPzPP92N-LpPRZSQKxgkqTKC4eYhgU&uniplatform=NZKPT</w:t></w:r></w:hyperlink></w:p><w:p><w:pPr><w:pStyle w:val="Heading1"/></w:pPr><w:bookmarkStart w:id="2" w:name="_Toc2"/><w:r><w:t>Article summary:</w:t></w:r><w:bookmarkEnd w:id="2"/></w:p><w:p><w:pPr><w:jc w:val="both"/></w:pPr><w:r><w:rPr/><w:t xml:space="preserve">1. This article examines the spatial patterns of four functions (non-agricultural production, agricultural production, ecological protection and residential living) in 85 counties of Hunan Province, China.</w:t></w:r></w:p><w:p><w:pPr><w:jc w:val="both"/></w:pPr><w:r><w:rPr/><w:t xml:space="preserve">2. Spearman rank correlation coefficient is used to analyze the interaction between functions and identify the types of rural regional advantages.</w:t></w:r></w:p><w:p><w:pPr><w:jc w:val="both"/></w:pPr><w:r><w:rPr/><w:t xml:space="preserve">3. The article proposes development suggestions based on the identified types of rural regional functions and suggests that different rural regions should coordinate their spatial settlements and forms to optimize rural space and maximize the use of regional functions.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analysis of the spatial patterns of four functions in 85 counties of Hunan Province, China. It uses ArcGIS natural breakpoint method and global spatial autocorrelation to study these functions, as well as Spearman rank correlation coefficient to analyze their interactions. Furthermore, it provides development suggestions based on its findings which are supported by evidence from its research. </w:t></w:r></w:p><w:p><w:pPr><w:jc w:val="both"/></w:pPr><w:r><w:rPr/><w:t xml:space="preserve">However, there are some potential biases that could be present in this article. For example, it does not explore any counterarguments or present both sides equally when discussing its findings or providing development suggestions. Additionally, it does not mention any possible risks associated with its proposed solutions or provide any evidence for its claims made about the effectiveness of these solutions. Moreover, there is no discussion about how these solutions might affect different stakeholders differently or how they might be implemented in practice.</w:t></w:r></w:p><w:p><w:pPr><w:pStyle w:val="Heading1"/></w:pPr><w:bookmarkStart w:id="5" w:name="_Toc5"/><w:r><w:t>Topics for further research:</w:t></w:r><w:bookmarkEnd w:id="5"/></w:p><w:p><w:pPr><w:spacing w:after="0"/><w:numPr><w:ilvl w:val="0"/><w:numId w:val="2"/></w:numPr></w:pPr><w:r><w:rPr/><w:t xml:space="preserve">Counterarguments to spatial patterns </w:t></w:r></w:p><w:p><w:pPr><w:spacing w:after="0"/><w:numPr><w:ilvl w:val="0"/><w:numId w:val="2"/></w:numPr></w:pPr><w:r><w:rPr/><w:t xml:space="preserve">Risk assessment of development solutions </w:t></w:r></w:p><w:p><w:pPr><w:spacing w:after="0"/><w:numPr><w:ilvl w:val="0"/><w:numId w:val="2"/></w:numPr></w:pPr><w:r><w:rPr/><w:t xml:space="preserve">Stakeholder analysis of development solutions </w:t></w:r></w:p><w:p><w:pPr><w:spacing w:after="0"/><w:numPr><w:ilvl w:val="0"/><w:numId w:val="2"/></w:numPr></w:pPr><w:r><w:rPr/><w:t xml:space="preserve">Implementation of development solutions </w:t></w:r></w:p><w:p><w:pPr><w:spacing w:after="0"/><w:numPr><w:ilvl w:val="0"/><w:numId w:val="2"/></w:numPr></w:pPr><w:r><w:rPr/><w:t xml:space="preserve">Evidence for effectiveness of development solutions </w:t></w:r></w:p><w:p><w:pPr><w:numPr><w:ilvl w:val="0"/><w:numId w:val="2"/></w:numPr></w:pPr><w:r><w:rPr/><w:t xml:space="preserve">Impact of development solutions on different stakeholders</w:t></w:r></w:p><w:p><w:pPr><w:pStyle w:val="Heading1"/></w:pPr><w:bookmarkStart w:id="6" w:name="_Toc6"/><w:r><w:t>Report location:</w:t></w:r><w:bookmarkEnd w:id="6"/></w:p><w:p><w:hyperlink r:id="rId8" w:history="1"><w:r><w:rPr><w:color w:val="2980b9"/><w:u w:val="single"/></w:rPr><w:t xml:space="preserve">https://www.fullpicture.app/item/ce0bc6c6a2b13aed2a85ee8b91753aff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2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XV1TLW2pRZWz5ZPzPP92N-LpPRZSQKxgkqTKC4eYhgU&amp;uniplatform=NZKPT" TargetMode="External"/><Relationship Id="rId8" Type="http://schemas.openxmlformats.org/officeDocument/2006/relationships/hyperlink" Target="https://www.fullpicture.app/item/ce0bc6c6a2b13aed2a85ee8b91753a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2023-02-20T09:30:52+01:00</dcterms:created>
  <dcterms:modified xsi:type="dcterms:W3CDTF">2023-02-20T09:30:52+01:00</dcterms:modified>
</cp:coreProperties>
</file>

<file path=docProps/custom.xml><?xml version="1.0" encoding="utf-8"?>
<Properties xmlns="http://schemas.openxmlformats.org/officeDocument/2006/custom-properties" xmlns:vt="http://schemas.openxmlformats.org/officeDocument/2006/docPropsVTypes"/>
</file>