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Uprisings: On the Interaction of New Social Media, Traditional Media Coverage and Urban Space during the ‘Arab Spring’ - Nezar AlSayyad, Muna Guvenc, 2015</w:t>
      </w:r>
      <w:br/>
      <w:hyperlink r:id="rId7" w:history="1">
        <w:r>
          <w:rPr>
            <w:color w:val="2980b9"/>
            <w:u w:val="single"/>
          </w:rPr>
          <w:t xml:space="preserve">https://journals.sagepub.com/doi/10.1177/0042098013505881</w:t>
        </w:r>
      </w:hyperlink>
    </w:p>
    <w:p>
      <w:pPr>
        <w:pStyle w:val="Heading1"/>
      </w:pPr>
      <w:bookmarkStart w:id="2" w:name="_Toc2"/>
      <w:r>
        <w:t>Article summary:</w:t>
      </w:r>
      <w:bookmarkEnd w:id="2"/>
    </w:p>
    <w:p>
      <w:pPr>
        <w:jc w:val="both"/>
      </w:pPr>
      <w:r>
        <w:rPr/>
        <w:t xml:space="preserve">1. This article analyzes the relationship between virtual and physical dimensions of urban uprisings during the Arab Spring, focusing on the role of social media, traditional media coverage, and urban space.</w:t>
      </w:r>
    </w:p>
    <w:p>
      <w:pPr>
        <w:jc w:val="both"/>
      </w:pPr>
      <w:r>
        <w:rPr/>
        <w:t xml:space="preserve">2. The article examines case studies from Tunisia, Egypt, and Yemen to understand the spatial and temporal aspects of protests and how the interaction between social media, urban space, and traditional media transforms these relationships.</w:t>
      </w:r>
    </w:p>
    <w:p>
      <w:pPr>
        <w:jc w:val="both"/>
      </w:pPr>
      <w:r>
        <w:rPr/>
        <w:t xml:space="preserve">3. The article highlights the significance of specific urban spaces in each country, such as Bourguiba Avenue in Tunisia and Kasbah Square in Tunis, as focal points for protests and symbols of resistance against authoritarian regimes.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"Virtual Uprisings: On the Interaction of New Social Media, Traditional Media Coverage and Urban Space during the ‘Arab Spring’" by Nezar AlSayyad and Muna Guvenc provides an analysis of the relationship between virtual and physical dimensions of the Arab Spring uprisings. While the article offers valuable insights into the role of social media, urban space, and traditional media in shaping these protests, there are several potential biases and limitations that need to be considered.</w:t>
      </w:r>
    </w:p>
    <w:p>
      <w:pPr>
        <w:jc w:val="both"/>
      </w:pPr>
      <w:r>
        <w:rPr/>
        <w:t xml:space="preserve"/>
      </w:r>
    </w:p>
    <w:p>
      <w:pPr>
        <w:jc w:val="both"/>
      </w:pPr>
      <w:r>
        <w:rPr/>
        <w:t xml:space="preserve">One potential bias in the article is its focus on social media as a driving force behind the uprisings. The authors argue that social media played an important role in organizing gatherings and communicating political messages. While this may be true to some extent, it is important to note that social media alone did not cause these uprisings. There were underlying socio-political factors such as high unemployment rates, corruption, and authoritarian regimes that contributed to people's dissatisfaction and desire for change. By focusing primarily on social media, the article may overlook these broader structural issues.</w:t>
      </w:r>
    </w:p>
    <w:p>
      <w:pPr>
        <w:jc w:val="both"/>
      </w:pPr>
      <w:r>
        <w:rPr/>
        <w:t xml:space="preserve"/>
      </w:r>
    </w:p>
    <w:p>
      <w:pPr>
        <w:jc w:val="both"/>
      </w:pPr>
      <w:r>
        <w:rPr/>
        <w:t xml:space="preserve">Additionally, the article relies heavily on case studies from Tunisia, Egypt, and Yemen to support its arguments. While these countries were indeed at the forefront of the Arab Spring uprisings, it would have been beneficial to include a more diverse range of case studies from other countries in the region. This would have provided a more comprehensive understanding of how social media, traditional media coverage, and urban space interacted in different contexts.</w:t>
      </w:r>
    </w:p>
    <w:p>
      <w:pPr>
        <w:jc w:val="both"/>
      </w:pPr>
      <w:r>
        <w:rPr/>
        <w:t xml:space="preserve"/>
      </w:r>
    </w:p>
    <w:p>
      <w:pPr>
        <w:jc w:val="both"/>
      </w:pPr>
      <w:r>
        <w:rPr/>
        <w:t xml:space="preserve">Furthermore, there are certain claims made in the article that lack sufficient evidence or are not adequately supported. For example, the authors suggest that social media transformed the relationship between traditional media and urban space incrementally. However, they do not provide concrete examples or empirical data to support this claim. Without such evidence, it is difficult to assess the validity of their argument.</w:t>
      </w:r>
    </w:p>
    <w:p>
      <w:pPr>
        <w:jc w:val="both"/>
      </w:pPr>
      <w:r>
        <w:rPr/>
        <w:t xml:space="preserve"/>
      </w:r>
    </w:p>
    <w:p>
      <w:pPr>
        <w:jc w:val="both"/>
      </w:pPr>
      <w:r>
        <w:rPr/>
        <w:t xml:space="preserve">The article also fails to explore counterarguments or alternative perspectives on the role of social media in the Arab Spring uprisings. While the authors acknowledge that social media did not single-handedly cause these protests, they do not delve into the potential limitations or negative consequences of relying on social media as an organizing tool. For example, there are concerns about the spread of misinformation and the ease with which governments can monitor and suppress online activism. By not addressing these counterarguments, the article presents a somewhat one-sided view of the role of social media.</w:t>
      </w:r>
    </w:p>
    <w:p>
      <w:pPr>
        <w:jc w:val="both"/>
      </w:pPr>
      <w:r>
        <w:rPr/>
        <w:t xml:space="preserve"/>
      </w:r>
    </w:p>
    <w:p>
      <w:pPr>
        <w:jc w:val="both"/>
      </w:pPr>
      <w:r>
        <w:rPr/>
        <w:t xml:space="preserve">In terms of promotional content, the article does not explicitly promote any particular agenda or viewpoint. However, it is worth noting that the authors seem to have a positive view of social media's role in facilitating political change. This may introduce a subtle bias in their analysis and interpretation of the data.</w:t>
      </w:r>
    </w:p>
    <w:p>
      <w:pPr>
        <w:jc w:val="both"/>
      </w:pPr>
      <w:r>
        <w:rPr/>
        <w:t xml:space="preserve"/>
      </w:r>
    </w:p>
    <w:p>
      <w:pPr>
        <w:jc w:val="both"/>
      </w:pPr>
      <w:r>
        <w:rPr/>
        <w:t xml:space="preserve">Overall, while "Virtual Uprisings" provides valuable insights into the relationship between social media, traditional media coverage, and urban space during the Arab Spring uprisings, it is important to critically evaluate its content for potential biases and limitations. The article could benefit from a more balanced exploration of different perspectives and a broader range of case studies to support its arguments.</w:t>
      </w:r>
    </w:p>
    <w:p>
      <w:pPr>
        <w:pStyle w:val="Heading1"/>
      </w:pPr>
      <w:bookmarkStart w:id="5" w:name="_Toc5"/>
      <w:r>
        <w:t>Topics for further research:</w:t>
      </w:r>
      <w:bookmarkEnd w:id="5"/>
    </w:p>
    <w:p>
      <w:pPr>
        <w:spacing w:after="0"/>
        <w:numPr>
          <w:ilvl w:val="0"/>
          <w:numId w:val="2"/>
        </w:numPr>
      </w:pPr>
      <w:r>
        <w:rPr/>
        <w:t xml:space="preserve">Limitations of social media in political activism
</w:t>
      </w:r>
    </w:p>
    <w:p>
      <w:pPr>
        <w:spacing w:after="0"/>
        <w:numPr>
          <w:ilvl w:val="0"/>
          <w:numId w:val="2"/>
        </w:numPr>
      </w:pPr>
      <w:r>
        <w:rPr/>
        <w:t xml:space="preserve">Negative consequences of relying on social media for organizing protests
</w:t>
      </w:r>
    </w:p>
    <w:p>
      <w:pPr>
        <w:spacing w:after="0"/>
        <w:numPr>
          <w:ilvl w:val="0"/>
          <w:numId w:val="2"/>
        </w:numPr>
      </w:pPr>
      <w:r>
        <w:rPr/>
        <w:t xml:space="preserve">Role of socio-political factors in the Arab Spring uprisings
</w:t>
      </w:r>
    </w:p>
    <w:p>
      <w:pPr>
        <w:spacing w:after="0"/>
        <w:numPr>
          <w:ilvl w:val="0"/>
          <w:numId w:val="2"/>
        </w:numPr>
      </w:pPr>
      <w:r>
        <w:rPr/>
        <w:t xml:space="preserve">Impact of unemployment rates</w:t>
      </w:r>
    </w:p>
    <w:p>
      <w:pPr>
        <w:spacing w:after="0"/>
        <w:numPr>
          <w:ilvl w:val="0"/>
          <w:numId w:val="2"/>
        </w:numPr>
      </w:pPr>
      <w:r>
        <w:rPr/>
        <w:t xml:space="preserve">corruption</w:t>
      </w:r>
    </w:p>
    <w:p>
      <w:pPr>
        <w:spacing w:after="0"/>
        <w:numPr>
          <w:ilvl w:val="0"/>
          <w:numId w:val="2"/>
        </w:numPr>
      </w:pPr>
      <w:r>
        <w:rPr/>
        <w:t xml:space="preserve">and authoritarian regimes on protests
</w:t>
      </w:r>
    </w:p>
    <w:p>
      <w:pPr>
        <w:spacing w:after="0"/>
        <w:numPr>
          <w:ilvl w:val="0"/>
          <w:numId w:val="2"/>
        </w:numPr>
      </w:pPr>
      <w:r>
        <w:rPr/>
        <w:t xml:space="preserve">Government surveillance and suppression of online activism
</w:t>
      </w:r>
    </w:p>
    <w:p>
      <w:pPr>
        <w:numPr>
          <w:ilvl w:val="0"/>
          <w:numId w:val="2"/>
        </w:numPr>
      </w:pPr>
      <w:r>
        <w:rPr/>
        <w:t xml:space="preserve">Spread of misinformation on social media during the Arab Spring uprisings</w:t>
      </w:r>
    </w:p>
    <w:p>
      <w:pPr>
        <w:pStyle w:val="Heading1"/>
      </w:pPr>
      <w:bookmarkStart w:id="6" w:name="_Toc6"/>
      <w:r>
        <w:t>Report location:</w:t>
      </w:r>
      <w:bookmarkEnd w:id="6"/>
    </w:p>
    <w:p>
      <w:hyperlink r:id="rId8" w:history="1">
        <w:r>
          <w:rPr>
            <w:color w:val="2980b9"/>
            <w:u w:val="single"/>
          </w:rPr>
          <w:t xml:space="preserve">https://www.fullpicture.app/item/d232a7b233f73e15b3301423524d7509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9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2098013505881" TargetMode="External"/><Relationship Id="rId8" Type="http://schemas.openxmlformats.org/officeDocument/2006/relationships/hyperlink" Target="https://www.fullpicture.app/item/d232a7b233f73e15b3301423524d7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2024-04-23T19:56:09+02:00</dcterms:created>
  <dcterms:modified xsi:type="dcterms:W3CDTF">2024-04-23T19:56:09+02:00</dcterms:modified>
</cp:coreProperties>
</file>

<file path=docProps/custom.xml><?xml version="1.0" encoding="utf-8"?>
<Properties xmlns="http://schemas.openxmlformats.org/officeDocument/2006/custom-properties" xmlns:vt="http://schemas.openxmlformats.org/officeDocument/2006/docPropsVTypes"/>
</file>