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Detection of the secondary, low-affinity β1-adrenoceptor site in living cells using the fluorescent CGP 12177 derivative BODIPY-TMR-CGP - PMC</w:t>
      </w:r>
      <w:br/>
      <w:hyperlink r:id="rId7" w:history="1">
        <w:r>
          <w:rPr>
            <w:color w:val="2980b9"/>
            <w:u w:val="single"/>
          </w:rPr>
          <w:t xml:space="preserve">https://www.ncbi.nlm.nih.gov/pmc/articles/PMC4261997/</w:t>
        </w:r>
      </w:hyperlink>
    </w:p>
    <w:p>
      <w:pPr>
        <w:pStyle w:val="Heading1"/>
      </w:pPr>
      <w:bookmarkStart w:id="2" w:name="_Toc2"/>
      <w:r>
        <w:t>Article summary:</w:t>
      </w:r>
      <w:bookmarkEnd w:id="2"/>
    </w:p>
    <w:p>
      <w:pPr>
        <w:jc w:val="both"/>
      </w:pPr>
      <w:r>
        <w:rPr/>
        <w:t xml:space="preserve">1. CGP 12177 exhibits agonist effects at a secondary, low-affinity β1-adrenoceptor site.</w:t>
      </w:r>
    </w:p>
    <w:p>
      <w:pPr>
        <w:jc w:val="both"/>
      </w:pPr>
      <w:r>
        <w:rPr/>
        <w:t xml:space="preserve">2. BODIPY-TMR-CGP is a fluorescent CGP 12177 analogue that can be used to directly investigate receptor-ligand interactions at the secondary binding site of the β1-adrenoceptor.</w:t>
      </w:r>
    </w:p>
    <w:p>
      <w:pPr>
        <w:jc w:val="both"/>
      </w:pPr>
      <w:r>
        <w:rPr/>
        <w:t xml:space="preserve">3. BODIPY-TMR-CGP allows for the detection of the β1-adrenoceptor secondary site in both functional and binding studies, making it an important and novel fluorescent tool for investigating the nature of this binding site.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"Detection of the secondary, low-affinity β1-adrenoceptor site in living cells using the fluorescent CGP 12177 derivative BODIPY-TMR-CGP" presents a study on the use of a fluorescent ligand, BODIPY-TMR-CGP, to investigate the secondary binding site of the β1-adrenoceptor. The authors aim to provide a novel tool for visualizing and studying this site in living cells.</w:t>
      </w:r>
    </w:p>
    <w:p>
      <w:pPr>
        <w:jc w:val="both"/>
      </w:pPr>
      <w:r>
        <w:rPr/>
        <w:t xml:space="preserve"/>
      </w:r>
    </w:p>
    <w:p>
      <w:pPr>
        <w:jc w:val="both"/>
      </w:pPr>
      <w:r>
        <w:rPr/>
        <w:t xml:space="preserve">The article provides a detailed background on the pharmacology of CGP 12177 and its agonist effects at higher concentrations through the secondary β1-adrenoceptor site. The authors also discuss the limitations of using radioligands in cell-based ligand binding studies and highlight the potential benefits of using fluorescently labeled ligands.</w:t>
      </w:r>
    </w:p>
    <w:p>
      <w:pPr>
        <w:jc w:val="both"/>
      </w:pPr>
      <w:r>
        <w:rPr/>
        <w:t xml:space="preserve"/>
      </w:r>
    </w:p>
    <w:p>
      <w:pPr>
        <w:jc w:val="both"/>
      </w:pPr>
      <w:r>
        <w:rPr/>
        <w:t xml:space="preserve">The study itself involves characterizing BODIPY-TMR-CGP as a fluorescent ligand for the β1-adrenoceptor and evaluating its binding and functional properties in CHO cells expressing human β1- or β2-adrenoceptors. The authors report that BODIPY-TMR-CGP displays a pharmacological profile similar to that of CGP 12177, retaining agonist activity at the secondary β1-adrenoceptor site. They also demonstrate that specific BODIPY-TMR-CGP binding allows clear visualization of β1-adrenoceptors in live cells.</w:t>
      </w:r>
    </w:p>
    <w:p>
      <w:pPr>
        <w:jc w:val="both"/>
      </w:pPr>
      <w:r>
        <w:rPr/>
        <w:t xml:space="preserve"/>
      </w:r>
    </w:p>
    <w:p>
      <w:pPr>
        <w:jc w:val="both"/>
      </w:pPr>
      <w:r>
        <w:rPr/>
        <w:t xml:space="preserve">Overall, the article appears to be well-written and informative, providing valuable insights into the use of fluorescent ligands for studying receptor-ligand interactions in living cells. However, there are some potential biases and limitations to consider.</w:t>
      </w:r>
    </w:p>
    <w:p>
      <w:pPr>
        <w:jc w:val="both"/>
      </w:pPr>
      <w:r>
        <w:rPr/>
        <w:t xml:space="preserve"/>
      </w:r>
    </w:p>
    <w:p>
      <w:pPr>
        <w:jc w:val="both"/>
      </w:pPr>
      <w:r>
        <w:rPr/>
        <w:t xml:space="preserve">One potential bias is that the study only focuses on one type of receptor (the β1-adrenoceptor) and does not explore other receptors or their interactions with different ligands. Additionally, while the authors acknowledge some limitations of using fluorescently labeled ligands (such as their potential impact on ligand pharmacology), they do not fully address these limitations or provide a comprehensive comparison with radioligands.</w:t>
      </w:r>
    </w:p>
    <w:p>
      <w:pPr>
        <w:jc w:val="both"/>
      </w:pPr>
      <w:r>
        <w:rPr/>
        <w:t xml:space="preserve"/>
      </w:r>
    </w:p>
    <w:p>
      <w:pPr>
        <w:jc w:val="both"/>
      </w:pPr>
      <w:r>
        <w:rPr/>
        <w:t xml:space="preserve">Another limitation is that the study only evaluates BODIPY-TMR-CGP in CHO cells expressing human β1- or β2-adrenoceptors, and it is unclear how well the results would generalize to other cell types or species. Additionally, while the authors report two-site inhibition binding curves of β-adrenoceptor antagonists in CHO cells expressing the human β1-adrenoceptor, they do not explore potential differences between different antagonists or their effects on other receptors.</w:t>
      </w:r>
    </w:p>
    <w:p>
      <w:pPr>
        <w:jc w:val="both"/>
      </w:pPr>
      <w:r>
        <w:rPr/>
        <w:t xml:space="preserve"/>
      </w:r>
    </w:p>
    <w:p>
      <w:pPr>
        <w:jc w:val="both"/>
      </w:pPr>
      <w:r>
        <w:rPr/>
        <w:t xml:space="preserve">Overall, while the article provides valuable insights into the use of fluorescent ligands for studying receptor-ligand interactions in living cells, there are some potential biases and limitations to consider. Further research is needed to fully evaluate the utility and limitations of fluorescently labeled ligands for studying receptor pharmacology and function.</w:t>
      </w:r>
    </w:p>
    <w:p>
      <w:pPr>
        <w:pStyle w:val="Heading1"/>
      </w:pPr>
      <w:bookmarkStart w:id="5" w:name="_Toc5"/>
      <w:r>
        <w:t>Topics for further research:</w:t>
      </w:r>
      <w:bookmarkEnd w:id="5"/>
    </w:p>
    <w:p>
      <w:pPr>
        <w:spacing w:after="0"/>
        <w:numPr>
          <w:ilvl w:val="0"/>
          <w:numId w:val="2"/>
        </w:numPr>
      </w:pPr>
      <w:r>
        <w:rPr/>
        <w:t xml:space="preserve">Comparison of fluorescently labeled ligands vs radioligands in receptor-ligand binding studies
</w:t>
      </w:r>
    </w:p>
    <w:p>
      <w:pPr>
        <w:spacing w:after="0"/>
        <w:numPr>
          <w:ilvl w:val="0"/>
          <w:numId w:val="2"/>
        </w:numPr>
      </w:pPr>
      <w:r>
        <w:rPr/>
        <w:t xml:space="preserve">Pharmacology of β2-adrenoceptors and their interactions with ligands
</w:t>
      </w:r>
    </w:p>
    <w:p>
      <w:pPr>
        <w:spacing w:after="0"/>
        <w:numPr>
          <w:ilvl w:val="0"/>
          <w:numId w:val="2"/>
        </w:numPr>
      </w:pPr>
      <w:r>
        <w:rPr/>
        <w:t xml:space="preserve">Differences in ligand binding and functional properties across different cell types and species
</w:t>
      </w:r>
    </w:p>
    <w:p>
      <w:pPr>
        <w:spacing w:after="0"/>
        <w:numPr>
          <w:ilvl w:val="0"/>
          <w:numId w:val="2"/>
        </w:numPr>
      </w:pPr>
      <w:r>
        <w:rPr/>
        <w:t xml:space="preserve">Limitations of using fluorescently labeled ligands in live cell imaging
</w:t>
      </w:r>
    </w:p>
    <w:p>
      <w:pPr>
        <w:spacing w:after="0"/>
        <w:numPr>
          <w:ilvl w:val="0"/>
          <w:numId w:val="2"/>
        </w:numPr>
      </w:pPr>
      <w:r>
        <w:rPr/>
        <w:t xml:space="preserve">Mechanisms of two-site inhibition binding curves in β-adrenoceptor antagonists
</w:t>
      </w:r>
    </w:p>
    <w:p>
      <w:pPr>
        <w:numPr>
          <w:ilvl w:val="0"/>
          <w:numId w:val="2"/>
        </w:numPr>
      </w:pPr>
      <w:r>
        <w:rPr/>
        <w:t xml:space="preserve">Applications of fluorescent ligands in studying other types of receptors and ligands.</w:t>
      </w:r>
    </w:p>
    <w:p>
      <w:pPr>
        <w:pStyle w:val="Heading1"/>
      </w:pPr>
      <w:bookmarkStart w:id="6" w:name="_Toc6"/>
      <w:r>
        <w:t>Report location:</w:t>
      </w:r>
      <w:bookmarkEnd w:id="6"/>
    </w:p>
    <w:p>
      <w:hyperlink r:id="rId8" w:history="1">
        <w:r>
          <w:rPr>
            <w:color w:val="2980b9"/>
            <w:u w:val="single"/>
          </w:rPr>
          <w:t xml:space="preserve">https://www.fullpicture.app/item/d23530ae3d000d131500002c53c2b0a4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C12B4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4261997/" TargetMode="External"/><Relationship Id="rId8" Type="http://schemas.openxmlformats.org/officeDocument/2006/relationships/hyperlink" Target="https://www.fullpicture.app/item/d23530ae3d000d131500002c53c2b0a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2023-12-10T22:20:19+01:00</dcterms:created>
  <dcterms:modified xsi:type="dcterms:W3CDTF">2023-12-10T22:20:19+01:00</dcterms:modified>
</cp:coreProperties>
</file>

<file path=docProps/custom.xml><?xml version="1.0" encoding="utf-8"?>
<Properties xmlns="http://schemas.openxmlformats.org/officeDocument/2006/custom-properties" xmlns:vt="http://schemas.openxmlformats.org/officeDocument/2006/docPropsVTypes"/>
</file>