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Medical education in the metaverse | Nature Medicine</w:t>
      </w:r>
      <w:br/>
      <w:hyperlink r:id="rId7" w:history="1">
        <w:r>
          <w:rPr>
            <w:color w:val="2980b9"/>
            <w:u w:val="single"/>
          </w:rPr>
          <w:t xml:space="preserve">https://www.nature.com/articles/s41591-022-02038-0</w:t>
        </w:r>
      </w:hyperlink>
    </w:p>
    <w:p>
      <w:pPr>
        <w:pStyle w:val="Heading1"/>
      </w:pPr>
      <w:bookmarkStart w:id="2" w:name="_Toc2"/>
      <w:r>
        <w:t>Article summary:</w:t>
      </w:r>
      <w:bookmarkEnd w:id="2"/>
    </w:p>
    <w:p>
      <w:pPr>
        <w:jc w:val="both"/>
      </w:pPr>
      <w:r>
        <w:rPr/>
        <w:t xml:space="preserve">1. The metaverse is a virtual space for shared experiences, and can be used to facilitate medical education.</w:t>
      </w:r>
    </w:p>
    <w:p>
      <w:pPr>
        <w:jc w:val="both"/>
      </w:pPr>
      <w:r>
        <w:rPr/>
        <w:t xml:space="preserve">2. Several studies have assessed the performance improvement and satisfaction levels of metaverse teaching activities across disciplines.</w:t>
      </w:r>
    </w:p>
    <w:p>
      <w:pPr>
        <w:jc w:val="both"/>
      </w:pPr>
      <w:r>
        <w:rPr/>
        <w:t xml:space="preserve">3. The use of blockchain and gamification can lead to broader adoption of reward incentivization in medical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applications of the metaverse in medical education, discussing its advantages and challenges. It is well-written and provides a comprehensive overview of the topic, citing relevant research studies to support its claims. However, it does not explore any counterarguments or potential risks associated with using the metaverse for medical education, such as privacy concerns or data security issues. Additionally, it does not provide any evidence for its claims regarding the effectiveness of using the metaverse for medical education, nor does it discuss any potential biases that may arise from using this technology in educational settings. Furthermore, while it mentions that there are some challenges associated with using the metaverse for medical education (e.g., access to technology), it does not provide any solutions or suggestions on how these challenges could be addressed. In conclusion, while this article provides an interesting overview of the potential applications of the metaverse in medical education, it lacks depth and fails to address some important points that should be considered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Metaverse medical education privacy concerns</w:t>
      </w:r>
    </w:p>
    <w:p>
      <w:pPr>
        <w:spacing w:after="0"/>
        <w:numPr>
          <w:ilvl w:val="0"/>
          <w:numId w:val="2"/>
        </w:numPr>
      </w:pPr>
      <w:r>
        <w:rPr/>
        <w:t xml:space="preserve">Data security issues in metaverse medical education</w:t>
      </w:r>
    </w:p>
    <w:p>
      <w:pPr>
        <w:spacing w:after="0"/>
        <w:numPr>
          <w:ilvl w:val="0"/>
          <w:numId w:val="2"/>
        </w:numPr>
      </w:pPr>
      <w:r>
        <w:rPr/>
        <w:t xml:space="preserve">Effectiveness of metaverse medical education</w:t>
      </w:r>
    </w:p>
    <w:p>
      <w:pPr>
        <w:spacing w:after="0"/>
        <w:numPr>
          <w:ilvl w:val="0"/>
          <w:numId w:val="2"/>
        </w:numPr>
      </w:pPr>
      <w:r>
        <w:rPr/>
        <w:t xml:space="preserve">Biases in metaverse medical education</w:t>
      </w:r>
    </w:p>
    <w:p>
      <w:pPr>
        <w:spacing w:after="0"/>
        <w:numPr>
          <w:ilvl w:val="0"/>
          <w:numId w:val="2"/>
        </w:numPr>
      </w:pPr>
      <w:r>
        <w:rPr/>
        <w:t xml:space="preserve">Access to technology in metaverse medical education</w:t>
      </w:r>
    </w:p>
    <w:p>
      <w:pPr>
        <w:numPr>
          <w:ilvl w:val="0"/>
          <w:numId w:val="2"/>
        </w:numPr>
      </w:pPr>
      <w:r>
        <w:rPr/>
        <w:t xml:space="preserve">Solutions for challenges in metaverse medical education</w:t>
      </w:r>
    </w:p>
    <w:p>
      <w:pPr>
        <w:pStyle w:val="Heading1"/>
      </w:pPr>
      <w:bookmarkStart w:id="6" w:name="_Toc6"/>
      <w:r>
        <w:t>Report location:</w:t>
      </w:r>
      <w:bookmarkEnd w:id="6"/>
    </w:p>
    <w:p>
      <w:hyperlink r:id="rId8" w:history="1">
        <w:r>
          <w:rPr>
            <w:color w:val="2980b9"/>
            <w:u w:val="single"/>
          </w:rPr>
          <w:t xml:space="preserve">https://www.fullpicture.app/item/d33741c0ac2e65e30f70bb2efb442b41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39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1-022-02038-0" TargetMode="External"/><Relationship Id="rId8" Type="http://schemas.openxmlformats.org/officeDocument/2006/relationships/hyperlink" Target="https://www.fullpicture.app/item/d33741c0ac2e65e30f70bb2efb442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2023-03-04T12:38:21+01:00</dcterms:created>
  <dcterms:modified xsi:type="dcterms:W3CDTF">2023-03-04T12:38:21+01:00</dcterms:modified>
</cp:coreProperties>
</file>

<file path=docProps/custom.xml><?xml version="1.0" encoding="utf-8"?>
<Properties xmlns="http://schemas.openxmlformats.org/officeDocument/2006/custom-properties" xmlns:vt="http://schemas.openxmlformats.org/officeDocument/2006/docPropsVTypes"/>
</file>