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Chapter 19: In-work poverty in the United States in: Handbook on In-Work Poverty</w:t>
      </w:r>
      <w:br/>
      <w:hyperlink r:id="rId7" w:history="1">
        <w:r>
          <w:rPr>
            <w:color w:val="2980b9"/>
            <w:u w:val="single"/>
          </w:rPr>
          <w:t xml:space="preserve">https://www.elgaronline.com/display/edcoll/9781784715625/9781784715625.00027.xml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In-work poverty is a significant issue in the United States.</w:t>
      </w:r>
    </w:p>
    <w:p>
      <w:pPr>
        <w:jc w:val="both"/>
      </w:pPr>
      <w:r>
        <w:rPr/>
        <w:t xml:space="preserve">2. The causes of in-work poverty include low wages, insufficient work hours, and lack of benefits.</w:t>
      </w:r>
    </w:p>
    <w:p>
      <w:pPr>
        <w:jc w:val="both"/>
      </w:pPr>
      <w:r>
        <w:rPr/>
        <w:t xml:space="preserve">3. Policy solutions to address in-work poverty include increasing the minimum wage, expanding access to affordable healthcare and childcare, and strengthening labor protections.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该文章只提供了标题和一些网站链接，无法进行详细的批判性分析。需要更多的信息和内容来确定其潜在偏见及其来源、片面报道、无根据的主张、缺失的考虑点、所提出主张的缺失证据、未探索的反驳、宣传内容，偏袒，是否注意到可能的风险，没有平等地呈现双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Source of bias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Unexplored counterarguments
</w:t>
      </w:r>
    </w:p>
    <w:p>
      <w:pPr>
        <w:numPr>
          <w:ilvl w:val="0"/>
          <w:numId w:val="2"/>
        </w:numPr>
      </w:pPr>
      <w:r>
        <w:rPr/>
        <w:t xml:space="preserve">Promotion and favoritism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https://www.fullpicture.app/item/d480347e07f58c2749611930ed572e12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63C3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lgaronline.com/display/edcoll/9781784715625/9781784715625.00027.xml" TargetMode="External"/><Relationship Id="rId8" Type="http://schemas.openxmlformats.org/officeDocument/2006/relationships/hyperlink" Target="https://www.fullpicture.app/item/d480347e07f58c2749611930ed572e1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2023-06-25T12:49:45+02:00</dcterms:created>
  <dcterms:modified xsi:type="dcterms:W3CDTF">2023-06-25T12:49:45+02:00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