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Linking international norms to regions: Mercosur and ASEAN facing the challenge of cultural diversity - ProQuest</w:t></w:r><w:br/><w:hyperlink r:id="rId7" w:history="1"><w:r><w:rPr><w:color w:val="2980b9"/><w:u w:val="single"/></w:rPr><w:t xml:space="preserve">https://www.proquest.com/docview/1913298733?pq-origsite=primo&accountid=28932</w:t></w:r></w:hyperlink></w:p><w:p><w:pPr><w:pStyle w:val="Heading1"/></w:pPr><w:bookmarkStart w:id="2" w:name="_Toc2"/><w:r><w:t>Article summary:</w:t></w:r><w:bookmarkEnd w:id="2"/></w:p><w:p><w:pPr><w:jc w:val="both"/></w:pPr><w:r><w:rPr/><w:t xml:space="preserve">1. The Convention on Diversity of Cultural Expressions (CDCE) was adopted by UNESCO in 2005 and has become a main mechanism within the global governance of cultural industries.</w:t></w:r></w:p><w:p><w:pPr><w:jc w:val="both"/></w:pPr><w:r><w:rPr/><w:t xml:space="preserve">2. This article explores the transfer of the CDCE from international level to Mercosur (Southern Common Market) and ASEAN (Association of the Southeast Asian Nations).</w:t></w:r></w:p><w:p><w:pPr><w:jc w:val="both"/></w:pPr><w:r><w:rPr/><w:t xml:space="preserve">4. The article examines four key questions: why do actors engage in norm transfer? Who are the key actors involved in the norm transfer process? What is transferred and why? What restricts or facilitates the norm transfer process?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written in an objective manner, presenting both sides of the argument equally. It provides a detailed overview of the Convention on Diversity of Cultural Expressions (CDCE), its adoption by UNESCO, and its implications for global governance of cultural industries. The article also examines how this convention has been transferred from international level to Mercosur (Southern Common Market) and ASEAN (Association of the Southeast Asian Nations). Furthermore, it explores four key questions related to this transfer process. </w:t></w:r></w:p><w:p><w:pPr><w:jc w:val="both"/></w:pPr><w:r><w:rPr/><w:t xml:space="preserve">The article is well-researched and provides evidence for all claims made. It cites relevant sources such as Organisation internationale de la Francophonie (OIF), Council of Europe, culture organizations, experts, etc., which adds credibility to its arguments. Additionally, it acknowledges potential risks associated with FTAs and culture policies, thus providing a balanced view on this issue. </w:t></w:r></w:p><w:p><w:pPr><w:jc w:val="both"/></w:pPr><w:r><w:rPr/><w:t xml:space="preserve">In conclusion, this article is reliable and trustworthy due to its comprehensive research and balanced approach towards examining this issue.</w:t></w:r></w:p><w:p><w:pPr><w:pStyle w:val="Heading1"/></w:pPr><w:bookmarkStart w:id="5" w:name="_Toc5"/><w:r><w:t>Topics for further research:</w:t></w:r><w:bookmarkEnd w:id="5"/></w:p><w:p><w:pPr><w:spacing w:after="0"/><w:numPr><w:ilvl w:val="0"/><w:numId w:val="2"/></w:numPr></w:pPr><w:r><w:rPr/><w:t xml:space="preserve">Cultural Expressions Convention</w:t></w:r></w:p><w:p><w:pPr><w:spacing w:after="0"/><w:numPr><w:ilvl w:val="0"/><w:numId w:val="2"/></w:numPr></w:pPr><w:r><w:rPr/><w:t xml:space="preserve">UNESCO Cultural Governance</w:t></w:r></w:p><w:p><w:pPr><w:spacing w:after="0"/><w:numPr><w:ilvl w:val="0"/><w:numId w:val="2"/></w:numPr></w:pPr><w:r><w:rPr/><w:t xml:space="preserve">Mercosur Cultural Policies</w:t></w:r></w:p><w:p><w:pPr><w:spacing w:after="0"/><w:numPr><w:ilvl w:val="0"/><w:numId w:val="2"/></w:numPr></w:pPr><w:r><w:rPr/><w:t xml:space="preserve">ASEAN Cultural Policies</w:t></w:r></w:p><w:p><w:pPr><w:spacing w:after="0"/><w:numPr><w:ilvl w:val="0"/><w:numId w:val="2"/></w:numPr></w:pPr><w:r><w:rPr/><w:t xml:space="preserve">Free Trade Agreements and Culture</w:t></w:r></w:p><w:p><w:pPr><w:numPr><w:ilvl w:val="0"/><w:numId w:val="2"/></w:numPr></w:pPr><w:r><w:rPr/><w:t xml:space="preserve">International Francophonie Organisation</w:t></w:r></w:p><w:p><w:pPr><w:pStyle w:val="Heading1"/></w:pPr><w:bookmarkStart w:id="6" w:name="_Toc6"/><w:r><w:t>Report location:</w:t></w:r><w:bookmarkEnd w:id="6"/></w:p><w:p><w:hyperlink r:id="rId8" w:history="1"><w:r><w:rPr><w:color w:val="2980b9"/><w:u w:val="single"/></w:rPr><w:t xml:space="preserve">https://www.fullpicture.app/item/d5117b5bd244a763bed60989e0367cf8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8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913298733?pq-origsite=primo&amp;accountid=28932" TargetMode="External"/><Relationship Id="rId8" Type="http://schemas.openxmlformats.org/officeDocument/2006/relationships/hyperlink" Target="https://www.fullpicture.app/item/d5117b5bd244a763bed60989e0367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2023-02-24T19:07:28+01:00</dcterms:created>
  <dcterms:modified xsi:type="dcterms:W3CDTF">2023-02-24T19:07:28+01:00</dcterms:modified>
</cp:coreProperties>
</file>

<file path=docProps/custom.xml><?xml version="1.0" encoding="utf-8"?>
<Properties xmlns="http://schemas.openxmlformats.org/officeDocument/2006/custom-properties" xmlns:vt="http://schemas.openxmlformats.org/officeDocument/2006/docPropsVTypes"/>
</file>