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Clopidogrel versus ticagrelor or prasugrel in patients aged 70 years or older with non-ST-elevation acute coronary syndrome (POPular AGE): the randomised, open-label, non-inferiority trial - PubMed</w:t>
      </w:r>
      <w:br/>
      <w:hyperlink r:id="rId7" w:history="1">
        <w:r>
          <w:rPr>
            <w:color w:val="2980b9"/>
            <w:u w:val="single"/>
          </w:rPr>
          <w:t xml:space="preserve">https://pubmed.ncbi.nlm.nih.gov/32334703/</w:t>
        </w:r>
      </w:hyperlink>
    </w:p>
    <w:p>
      <w:pPr>
        <w:pStyle w:val="Heading1"/>
      </w:pPr>
      <w:bookmarkStart w:id="2" w:name="_Toc2"/>
      <w:r>
        <w:t>Article summary:</w:t>
      </w:r>
      <w:bookmarkEnd w:id="2"/>
    </w:p>
    <w:p>
      <w:pPr>
        <w:jc w:val="both"/>
      </w:pPr>
      <w:r>
        <w:rPr/>
        <w:t xml:space="preserve">1. 该研究比较了年龄在70岁或以上的非ST段抬高型急性冠状动脉综合征患者中使用氯吡格雷与替卡格雷或普拉格雷的效果。</w:t>
      </w:r>
    </w:p>
    <w:p>
      <w:pPr>
        <w:jc w:val="both"/>
      </w:pPr>
      <w:r>
        <w:rPr/>
        <w:t xml:space="preserve">2. 研究结果显示，对于这个年龄组的患者，氯吡格雷与替卡格雷或普拉格雷在预防心血管事件方面没有明显差异。</w:t>
      </w:r>
    </w:p>
    <w:p>
      <w:pPr>
        <w:jc w:val="both"/>
      </w:pPr>
      <w:r>
        <w:rPr/>
        <w:t xml:space="preserve">3. 这是一项随机、开放、非劣效性试验，结果表明对于年龄在70岁或以上的患者，氯吡格雷可能是一种有效且安全的治疗选择。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潜在偏见及其来源：文章没有明确提到作者的潜在利益冲突或研究资助来源，这可能导致潜在的偏见。读者无法确定作者是否有与药物制造商相关的利益冲突。</w:t>
      </w:r>
    </w:p>
    <w:p>
      <w:pPr>
        <w:jc w:val="both"/>
      </w:pPr>
      <w:r>
        <w:rPr/>
        <w:t xml:space="preserve"/>
      </w:r>
    </w:p>
    <w:p>
      <w:pPr>
        <w:jc w:val="both"/>
      </w:pPr>
      <w:r>
        <w:rPr/>
        <w:t xml:space="preserve">2. 片面报道：文章只关注了三种抗血小板药物（氯吡格雷、替卡格雷和普拉格雷）在70岁以上非ST段抬高型急性冠脉综合征患者中的非劣效性比较。然而，该研究未考虑其他重要因素，如患者的基线特征、并发症风险等。</w:t>
      </w:r>
    </w:p>
    <w:p>
      <w:pPr>
        <w:jc w:val="both"/>
      </w:pPr>
      <w:r>
        <w:rPr/>
        <w:t xml:space="preserve"/>
      </w:r>
    </w:p>
    <w:p>
      <w:pPr>
        <w:jc w:val="both"/>
      </w:pPr>
      <w:r>
        <w:rPr/>
        <w:t xml:space="preserve">3. 无根据的主张：文章声称氯吡格雷与替卡格雷或普拉格雷在70岁以上患者中具有相同的疗效和安全性，但未提供充分的证据支持这一主张。该研究只是一个开放标签、非劣效性试验，并不能得出明确结论。</w:t>
      </w:r>
    </w:p>
    <w:p>
      <w:pPr>
        <w:jc w:val="both"/>
      </w:pPr>
      <w:r>
        <w:rPr/>
        <w:t xml:space="preserve"/>
      </w:r>
    </w:p>
    <w:p>
      <w:pPr>
        <w:jc w:val="both"/>
      </w:pPr>
      <w:r>
        <w:rPr/>
        <w:t xml:space="preserve">4. 缺失的考虑点：文章未讨论其他可能影响治疗选择的因素，如患者个体化特征、药物耐受性、药物相互作用等。这些因素对于临床决策和患者结果可能具有重要影响。</w:t>
      </w:r>
    </w:p>
    <w:p>
      <w:pPr>
        <w:jc w:val="both"/>
      </w:pPr>
      <w:r>
        <w:rPr/>
        <w:t xml:space="preserve"/>
      </w:r>
    </w:p>
    <w:p>
      <w:pPr>
        <w:jc w:val="both"/>
      </w:pPr>
      <w:r>
        <w:rPr/>
        <w:t xml:space="preserve">5. 所提出主张的缺失证据：文章未提供足够的证据支持氯吡格雷与替卡格雷或普拉格雷在70岁以上患者中具有相同的疗效和安全性。该研究只是一个非劣效性试验，并不能证明两种药物之间没有差异。</w:t>
      </w:r>
    </w:p>
    <w:p>
      <w:pPr>
        <w:jc w:val="both"/>
      </w:pPr>
      <w:r>
        <w:rPr/>
        <w:t xml:space="preserve"/>
      </w:r>
    </w:p>
    <w:p>
      <w:pPr>
        <w:jc w:val="both"/>
      </w:pPr>
      <w:r>
        <w:rPr/>
        <w:t xml:space="preserve">6. 未探索的反驳：文章未讨论其他研究或观点，以反驳其所得出的结论。这导致读者无法获得全面的信息，无法进行综合评估。</w:t>
      </w:r>
    </w:p>
    <w:p>
      <w:pPr>
        <w:jc w:val="both"/>
      </w:pPr>
      <w:r>
        <w:rPr/>
        <w:t xml:space="preserve"/>
      </w:r>
    </w:p>
    <w:p>
      <w:pPr>
        <w:jc w:val="both"/>
      </w:pPr>
      <w:r>
        <w:rPr/>
        <w:t xml:space="preserve">7. 宣传内容：文章可能存在宣传内容，即过分强调氯吡格雷与替卡格雷或普拉格雷之间的相似性，而忽略了其他可能存在的选择。</w:t>
      </w:r>
    </w:p>
    <w:p>
      <w:pPr>
        <w:jc w:val="both"/>
      </w:pPr>
      <w:r>
        <w:rPr/>
        <w:t xml:space="preserve"/>
      </w:r>
    </w:p>
    <w:p>
      <w:pPr>
        <w:jc w:val="both"/>
      </w:pPr>
      <w:r>
        <w:rPr/>
        <w:t xml:space="preserve">8. 偏袒：文章没有平等地呈现双方观点，而是偏向于支持氯吡格雷的使用。这可能导致读者对其他治疗选择缺乏充分了解。</w:t>
      </w:r>
    </w:p>
    <w:p>
      <w:pPr>
        <w:jc w:val="both"/>
      </w:pPr>
      <w:r>
        <w:rPr/>
        <w:t xml:space="preserve"/>
      </w:r>
    </w:p>
    <w:p>
      <w:pPr>
        <w:jc w:val="both"/>
      </w:pPr>
      <w:r>
        <w:rPr/>
        <w:t xml:space="preserve">9. 注意到可能的风险：文章未充分讨论氯吡格雷、替卡格雷和普拉格雷在老年患者中可能存在的风险，如出血风险、药物不良反应等。</w:t>
      </w:r>
    </w:p>
    <w:p>
      <w:pPr>
        <w:jc w:val="both"/>
      </w:pPr>
      <w:r>
        <w:rPr/>
        <w:t xml:space="preserve"/>
      </w:r>
    </w:p>
    <w:p>
      <w:pPr>
        <w:jc w:val="both"/>
      </w:pPr>
      <w:r>
        <w:rPr/>
        <w:t xml:space="preserve">综上所述，上述文章存在一些潜在的偏见和问题，包括片面报道、无根据的主张、缺失的考虑点和证据不足等。读者需要谨慎对待该研究的结论，并寻找更多相关研究以获取全面的信息。</w:t>
      </w:r>
    </w:p>
    <w:p>
      <w:pPr>
        <w:pStyle w:val="Heading1"/>
      </w:pPr>
      <w:bookmarkStart w:id="5" w:name="_Toc5"/>
      <w:r>
        <w:t>Topics for further research:</w:t>
      </w:r>
      <w:bookmarkEnd w:id="5"/>
    </w:p>
    <w:p>
      <w:pPr>
        <w:spacing w:after="0"/>
        <w:numPr>
          <w:ilvl w:val="0"/>
          <w:numId w:val="2"/>
        </w:numPr>
      </w:pPr>
      <w:r>
        <w:rPr/>
        <w:t xml:space="preserve">作者潜在利益冲突或研究资助来源
</w:t>
      </w:r>
    </w:p>
    <w:p>
      <w:pPr>
        <w:spacing w:after="0"/>
        <w:numPr>
          <w:ilvl w:val="0"/>
          <w:numId w:val="2"/>
        </w:numPr>
      </w:pPr>
      <w:r>
        <w:rPr/>
        <w:t xml:space="preserve">其他重要因素的考虑，如患者基线特征和并发症风险
</w:t>
      </w:r>
    </w:p>
    <w:p>
      <w:pPr>
        <w:spacing w:after="0"/>
        <w:numPr>
          <w:ilvl w:val="0"/>
          <w:numId w:val="2"/>
        </w:numPr>
      </w:pPr>
      <w:r>
        <w:rPr/>
        <w:t xml:space="preserve">氯吡格雷与替卡格雷或普拉格雷在70岁以上患者中的疗效和安全性的证据
</w:t>
      </w:r>
    </w:p>
    <w:p>
      <w:pPr>
        <w:spacing w:after="0"/>
        <w:numPr>
          <w:ilvl w:val="0"/>
          <w:numId w:val="2"/>
        </w:numPr>
      </w:pPr>
      <w:r>
        <w:rPr/>
        <w:t xml:space="preserve">其他可能影响治疗选择的因素，如患者个体化特征、药物耐受性和药物相互作用
</w:t>
      </w:r>
    </w:p>
    <w:p>
      <w:pPr>
        <w:spacing w:after="0"/>
        <w:numPr>
          <w:ilvl w:val="0"/>
          <w:numId w:val="2"/>
        </w:numPr>
      </w:pPr>
      <w:r>
        <w:rPr/>
        <w:t xml:space="preserve">氯吡格雷与替卡格雷或普拉格雷在70岁以上患者中的疗效和安全性的证据
</w:t>
      </w:r>
    </w:p>
    <w:p>
      <w:pPr>
        <w:spacing w:after="0"/>
        <w:numPr>
          <w:ilvl w:val="0"/>
          <w:numId w:val="2"/>
        </w:numPr>
      </w:pPr>
      <w:r>
        <w:rPr/>
        <w:t xml:space="preserve">其他研究或观点以反驳文章的结论
</w:t>
      </w:r>
    </w:p>
    <w:p>
      <w:pPr>
        <w:spacing w:after="0"/>
        <w:numPr>
          <w:ilvl w:val="0"/>
          <w:numId w:val="2"/>
        </w:numPr>
      </w:pPr>
      <w:r>
        <w:rPr/>
        <w:t xml:space="preserve">宣传内容和选择偏好
</w:t>
      </w:r>
    </w:p>
    <w:p>
      <w:pPr>
        <w:spacing w:after="0"/>
        <w:numPr>
          <w:ilvl w:val="0"/>
          <w:numId w:val="2"/>
        </w:numPr>
      </w:pPr>
      <w:r>
        <w:rPr/>
        <w:t xml:space="preserve">平等呈现双方观点
</w:t>
      </w:r>
    </w:p>
    <w:p>
      <w:pPr>
        <w:numPr>
          <w:ilvl w:val="0"/>
          <w:numId w:val="2"/>
        </w:numPr>
      </w:pPr>
      <w:r>
        <w:rPr/>
        <w:t xml:space="preserve">氯吡格雷、替卡格雷和普拉格雷在老年患者中的风险
通过对这些关键短语的搜索，用户可以找到更多相关的研究和观点，以便更全面地了解该主题。</w:t>
      </w:r>
    </w:p>
    <w:p>
      <w:pPr>
        <w:pStyle w:val="Heading1"/>
      </w:pPr>
      <w:bookmarkStart w:id="6" w:name="_Toc6"/>
      <w:r>
        <w:t>Report location:</w:t>
      </w:r>
      <w:bookmarkEnd w:id="6"/>
    </w:p>
    <w:p>
      <w:hyperlink r:id="rId8" w:history="1">
        <w:r>
          <w:rPr>
            <w:color w:val="2980b9"/>
            <w:u w:val="single"/>
          </w:rPr>
          <w:t xml:space="preserve">https://www.fullpicture.app/item/d588e0de28f2b80c704423d4510c1477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90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34703/" TargetMode="External"/><Relationship Id="rId8" Type="http://schemas.openxmlformats.org/officeDocument/2006/relationships/hyperlink" Target="https://www.fullpicture.app/item/d588e0de28f2b80c704423d4510c14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2023-12-26T08:49:18+01:00</dcterms:created>
  <dcterms:modified xsi:type="dcterms:W3CDTF">2023-12-26T08:49:18+01:00</dcterms:modified>
</cp:coreProperties>
</file>

<file path=docProps/custom.xml><?xml version="1.0" encoding="utf-8"?>
<Properties xmlns="http://schemas.openxmlformats.org/officeDocument/2006/custom-properties" xmlns:vt="http://schemas.openxmlformats.org/officeDocument/2006/docPropsVTypes"/>
</file>