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status-promoted growth and development of Arabidopsis require copper deficiency response transcriptional regulator SPL7 - PMC</w:t>
      </w:r>
      <w:br/>
      <w:hyperlink r:id="rId7" w:history="1">
        <w:r>
          <w:rPr>
            <w:color w:val="2980b9"/>
            <w:u w:val="single"/>
          </w:rPr>
          <w:t xml:space="preserve">https://www.ncbi.nlm.nih.gov/pmc/articles/PMC9516184/</w:t>
        </w:r>
      </w:hyperlink>
    </w:p>
    <w:p>
      <w:pPr>
        <w:pStyle w:val="Heading1"/>
      </w:pPr>
      <w:bookmarkStart w:id="2" w:name="_Toc2"/>
      <w:r>
        <w:t>Article summary:</w:t>
      </w:r>
      <w:bookmarkEnd w:id="2"/>
    </w:p>
    <w:p>
      <w:pPr>
        <w:jc w:val="both"/>
      </w:pPr>
      <w:r>
        <w:rPr/>
        <w:t xml:space="preserve">1. Copper (Cu) is a cofactor of around 300 Arabidopsis proteins, including photosynthetic and mitochondrial electron transfer chain enzymes critical for adenosine triphosphate (ATP) production and carbon fixation.</w:t>
      </w:r>
    </w:p>
    <w:p>
      <w:pPr>
        <w:jc w:val="both"/>
      </w:pPr>
      <w:r>
        <w:rPr/>
        <w:t xml:space="preserve">2. The transcription factor SQUAMOSA PROMOTER-BINDING PROTEIN-LIKE7 (SPL7) mediates the required changes in gene regulation that accompany this transition.</w:t>
      </w:r>
    </w:p>
    <w:p>
      <w:pPr>
        <w:jc w:val="both"/>
      </w:pPr>
      <w:r>
        <w:rPr/>
        <w:t xml:space="preserve">3. SPL7 is required to enhance the transcription of genes encoding proteins with roles in Cu acquisition, as well as to downregulate the levels of transcripts encoding several abundant but nonessential Cu metalloproteins.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SPL7 in regulating copper deficiency responses in Arabidopsis thaliana. The authors provide evidence from experiments conducted on both wild type and spl7 mutant plants, which demonstrate that SPL7 is necessary for plants to respond appropriately to copper deficiency by upregulating genes involved in copper acquisition and downregulating those involved in nonessential copper metalloproteins. Furthermore, they show that spl7 mutants are impaired in their ability to utilize sugars, even when grown under normal copper supply conditions without sugar supplementation.</w:t>
      </w:r>
    </w:p>
    <w:p>
      <w:pPr>
        <w:jc w:val="both"/>
      </w:pPr>
      <w:r>
        <w:rPr/>
        <w:t xml:space="preserve">The article appears to be reliable and trustworthy overall, as it provides evidence from experiments conducted on both wild type and spl7 mutant plants, as well as from transcriptome profiling and ChIP-seq analysis. However, there are some potential biases that should be noted. For example, the authors do not discuss any potential risks associated with manipulating plant growth or gene expression through SPL7 or other methods used in their experiments. Additionally, while the authors present evidence from both wild type and spl7 mutant plants, they do not explore any counterarguments or alternative explanations for their findings. Finally, while the article does provide evidence from experiments conducted on both wild type and spl7 mutant plants, it does not present both sides equally; instead it focuses primarily on providing evidence for its claims rather than exploring possible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Copper deficiency response mechanisms</w:t>
      </w:r>
    </w:p>
    <w:p>
      <w:pPr>
        <w:spacing w:after="0"/>
        <w:numPr>
          <w:ilvl w:val="0"/>
          <w:numId w:val="2"/>
        </w:numPr>
      </w:pPr>
      <w:r>
        <w:rPr/>
        <w:t xml:space="preserve">Copper acquisition pathways</w:t>
      </w:r>
    </w:p>
    <w:p>
      <w:pPr>
        <w:spacing w:after="0"/>
        <w:numPr>
          <w:ilvl w:val="0"/>
          <w:numId w:val="2"/>
        </w:numPr>
      </w:pPr>
      <w:r>
        <w:rPr/>
        <w:t xml:space="preserve">Copper metalloproteins</w:t>
      </w:r>
    </w:p>
    <w:p>
      <w:pPr>
        <w:spacing w:after="0"/>
        <w:numPr>
          <w:ilvl w:val="0"/>
          <w:numId w:val="2"/>
        </w:numPr>
      </w:pPr>
      <w:r>
        <w:rPr/>
        <w:t xml:space="preserve">Plant growth regulation</w:t>
      </w:r>
    </w:p>
    <w:p>
      <w:pPr>
        <w:spacing w:after="0"/>
        <w:numPr>
          <w:ilvl w:val="0"/>
          <w:numId w:val="2"/>
        </w:numPr>
      </w:pPr>
      <w:r>
        <w:rPr/>
        <w:t xml:space="preserve">Gene expression manipulation</w:t>
      </w:r>
    </w:p>
    <w:p>
      <w:pPr>
        <w:numPr>
          <w:ilvl w:val="0"/>
          <w:numId w:val="2"/>
        </w:numPr>
      </w:pPr>
      <w:r>
        <w:rPr/>
        <w:t xml:space="preserve">Alternative explanations for copper deficiency responses</w:t>
      </w:r>
    </w:p>
    <w:p>
      <w:pPr>
        <w:pStyle w:val="Heading1"/>
      </w:pPr>
      <w:bookmarkStart w:id="6" w:name="_Toc6"/>
      <w:r>
        <w:t>Report location:</w:t>
      </w:r>
      <w:bookmarkEnd w:id="6"/>
    </w:p>
    <w:p>
      <w:hyperlink r:id="rId8" w:history="1">
        <w:r>
          <w:rPr>
            <w:color w:val="2980b9"/>
            <w:u w:val="single"/>
          </w:rPr>
          <w:t xml:space="preserve">https://www.fullpicture.app/item/d58b86dc4245b5da3d936217e4329c07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1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16184/" TargetMode="External"/><Relationship Id="rId8" Type="http://schemas.openxmlformats.org/officeDocument/2006/relationships/hyperlink" Target="https://www.fullpicture.app/item/d58b86dc4245b5da3d936217e4329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2023-02-23T20:29:59+01:00</dcterms:created>
  <dcterms:modified xsi:type="dcterms:W3CDTF">2023-02-23T20:29:59+01:00</dcterms:modified>
</cp:coreProperties>
</file>

<file path=docProps/custom.xml><?xml version="1.0" encoding="utf-8"?>
<Properties xmlns="http://schemas.openxmlformats.org/officeDocument/2006/custom-properties" xmlns:vt="http://schemas.openxmlformats.org/officeDocument/2006/docPropsVTypes"/>
</file>