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antineutrophil cytoplasmic antibody-associated vasculitis: a review of recent guidelines - PubMed</w:t>
      </w:r>
      <w:br/>
      <w:hyperlink r:id="rId7" w:history="1">
        <w:r>
          <w:rPr>
            <w:color w:val="2980b9"/>
            <w:u w:val="single"/>
          </w:rPr>
          <w:t xml:space="preserve">https://pubmed.ncbi.nlm.nih.gov/37483479/</w:t>
        </w:r>
      </w:hyperlink>
    </w:p>
    <w:p>
      <w:pPr>
        <w:pStyle w:val="Heading1"/>
      </w:pPr>
      <w:bookmarkStart w:id="2" w:name="_Toc2"/>
      <w:r>
        <w:t>Article summary:</w:t>
      </w:r>
      <w:bookmarkEnd w:id="2"/>
    </w:p>
    <w:p>
      <w:pPr>
        <w:jc w:val="both"/>
      </w:pPr>
      <w:r>
        <w:rPr/>
        <w:t xml:space="preserve">1. 本文回顾了最近的指南，探讨了抗中性粒细胞胞浆抗体相关血管炎（ANCA-AAV）的管理方法。</w:t>
      </w:r>
    </w:p>
    <w:p>
      <w:pPr>
        <w:jc w:val="both"/>
      </w:pPr>
      <w:r>
        <w:rPr/>
        <w:t xml:space="preserve">2. 文章提到了ANCA-AAV的诊断和治疗方面的指南，包括药物治疗、手术干预和监测方法。</w:t>
      </w:r>
    </w:p>
    <w:p>
      <w:pPr>
        <w:jc w:val="both"/>
      </w:pPr>
      <w:r>
        <w:rPr/>
        <w:t xml:space="preserve">3. 文章还强调了早期诊断和积极治疗对于改善患者预后的重要性，并提供了一些建议来指导临床实践。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对于上述文章的详细批判性分析，需要对其内容进行更全面的了解。由于只提供了文章的标题和一部分引用，无法对其进行具体分析。请提供完整的文章内容，以便进行详细的批判性分析。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https://www.fullpicture.app/item/d699cff0ccd0a8812ffcb71e1cd3ea64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5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83479/" TargetMode="External"/><Relationship Id="rId8" Type="http://schemas.openxmlformats.org/officeDocument/2006/relationships/hyperlink" Target="https://www.fullpicture.app/item/d699cff0ccd0a8812ffcb71e1cd3e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2024-02-11T18:54:37+01:00</dcterms:created>
  <dcterms:modified xsi:type="dcterms:W3CDTF">2024-02-11T18:54:37+01:00</dcterms:modified>
</cp:coreProperties>
</file>

<file path=docProps/custom.xml><?xml version="1.0" encoding="utf-8"?>
<Properties xmlns="http://schemas.openxmlformats.org/officeDocument/2006/custom-properties" xmlns:vt="http://schemas.openxmlformats.org/officeDocument/2006/docPropsVTypes"/>
</file>