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dilution impact of daily fund flows on open-end mutual funds - ScienceDirect</w:t></w:r><w:br/><w:hyperlink r:id="rId7" w:history="1"><w:r><w:rPr><w:color w:val="2980b9"/><w:u w:val="single"/></w:rPr><w:t xml:space="preserve">https://vpn.jlu.edu.cn/https/44696469646131313237446964696461bd6feb2610cba212c258e268de7790f17702c29fe5/science/article/pii/S0304405X0200137X?ref=cra_js_challenge&fr=RR-1</w:t></w:r></w:hyperlink></w:p><w:p><w:pPr><w:pStyle w:val="Heading1"/></w:pPr><w:bookmarkStart w:id="2" w:name="_Toc2"/><w:r><w:t>Article summary:</w:t></w:r><w:bookmarkEnd w:id="2"/></w:p><w:p><w:pPr><w:jc w:val="both"/></w:pPr><w:r><w:rPr/><w:t xml:space="preserve">1. 该研究探讨了日常基金流动对开放式共同基金的稀释影响。活跃的共同基金交易者通过买卖基金份额给基金带来成本，这些成本由被动股东承担。研究发现，活跃交易者通过将现金与风险资产混合，稀释了短期正收益（并集中负收益），从而捕捉到价格波动。</w:t></w:r></w:p><w:p><w:pPr><w:jc w:val="both"/></w:pPr><w:r><w:rPr/><w:t xml:space="preserve">2. 在国内和国际开放式共同基金中存在利润可观的交易策略，可以获得10-20%的异常回报。特别是在国际基金中，净资金流量与利用过时价格进行交易的活跃交易者一致。这种稀释影响每年达到近0.50%，在26个月的时间里，导致被动股东向活跃交易者转移超过4.2亿美元的财富。</w:t></w:r></w:p><w:p><w:pPr><w:jc w:val="both"/></w:pPr><w:r><w:rPr/><w:t xml:space="preserve">3. 基金流量不仅会对共同基金的稀释影响产生影响，还会增加处理费用、增加现金持有量和交易成本等直接和间接成本。此外，日常基金流量还显示出与长期流量不同的模式，并且能够预测随后一天的回报率。此外，日常基金流量在前端收费基金中似乎更大，并且与基金招股书中列出的限制无关。</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日常基金流动对开放式共同基金的稀释影响。文章指出，积极的共同基金交易者通过现金交换给基金带来了成本，这些成本由被动股东承担。文章还提到，频繁的资金流动可能会导致基金的现金平衡发生变化，并对基金回报产生稀释影响。</w:t></w:r></w:p><w:p><w:pPr><w:jc w:val="both"/></w:pPr><w:r><w:rPr/><w:t xml:space="preserve"></w:t></w:r></w:p><w:p><w:pPr><w:jc w:val="both"/></w:pPr><w:r><w:rPr/><w:t xml:space="preserve">然而，这篇文章存在一些潜在的偏见和片面报道。首先，文章没有提及可能导致频繁资金流动的原因。例如，投资者可能根据市场条件或个人需求进行买卖决策，并不一定是为了利用价格差异获得利润。其次，文章只关注了国际共同基金，并未对国内股票和债券基金进行分析。这种选择性分析可能导致结论的局限性。</w:t></w:r></w:p><w:p><w:pPr><w:jc w:val="both"/></w:pPr><w:r><w:rPr/><w:t xml:space="preserve"></w:t></w:r></w:p><w:p><w:pPr><w:jc w:val="both"/></w:pPr><w:r><w:rPr/><w:t xml:space="preserve">此外，文章没有提供足够的证据来支持其主张。虽然作者声称发现了国际共同基金中净资金流动与价格滞后之间的负相关关系，但并未提供具体数据或统计结果来支持这一观点。缺乏实证数据使得读者难以验证作者所述的负面影响。</w:t></w:r></w:p><w:p><w:pPr><w:jc w:val="both"/></w:pPr><w:r><w:rPr/><w:t xml:space="preserve"></w:t></w:r></w:p><w:p><w:pPr><w:jc w:val="both"/></w:pPr><w:r><w:rPr/><w:t xml:space="preserve">另外，文章也没有探讨可能存在的反驳观点。例如，有人可能认为频繁的资金流动可以提高市场效率，并促使基金经理更加积极地管理基金。这种观点未被考虑进来，导致文章呈现了一种偏袒的立场。</w:t></w:r></w:p><w:p><w:pPr><w:jc w:val="both"/></w:pPr><w:r><w:rPr/><w:t xml:space="preserve"></w:t></w:r></w:p><w:p><w:pPr><w:jc w:val="both"/></w:pPr><w:r><w:rPr/><w:t xml:space="preserve">最后，文章没有平等地呈现双方观点。它主要关注了积极共同基金交易者对基金回报的负面影响，而忽略了其他可能的因素和参与者对基金回报的正面影响。</w:t></w:r></w:p><w:p><w:pPr><w:jc w:val="both"/></w:pPr><w:r><w:rPr/><w:t xml:space="preserve"></w:t></w:r></w:p><w:p><w:pPr><w:jc w:val="both"/></w:pPr><w:r><w:rPr/><w:t xml:space="preserve">综上所述，这篇文章在分析日常基金流动对开放式共同基金的稀释影响时存在一些潜在的偏见和不足之处。读者应该谨慎对待其中提出的主张，并寻找更全面和客观的证据来支持或反驳这些主张。</w:t></w:r></w:p><w:p><w:pPr><w:pStyle w:val="Heading1"/></w:pPr><w:bookmarkStart w:id="5" w:name="_Toc5"/><w:r><w:t>Topics for further research:</w:t></w:r><w:bookmarkEnd w:id="5"/></w:p><w:p><w:pPr><w:spacing w:after="0"/><w:numPr><w:ilvl w:val="0"/><w:numId w:val="2"/></w:numPr></w:pPr><w:r><w:rPr/><w:t xml:space="preserve">日常基金流动的原因
</w:t></w:r></w:p><w:p><w:pPr><w:spacing w:after="0"/><w:numPr><w:ilvl w:val="0"/><w:numId w:val="2"/></w:numPr></w:pPr><w:r><w:rPr/><w:t xml:space="preserve">国内股票和债券基金的影响
</w:t></w:r></w:p><w:p><w:pPr><w:spacing w:after="0"/><w:numPr><w:ilvl w:val="0"/><w:numId w:val="2"/></w:numPr></w:pPr><w:r><w:rPr/><w:t xml:space="preserve">具体数据或统计结果支持的负相关关系
</w:t></w:r></w:p><w:p><w:pPr><w:spacing w:after="0"/><w:numPr><w:ilvl w:val="0"/><w:numId w:val="2"/></w:numPr></w:pPr><w:r><w:rPr/><w:t xml:space="preserve">频繁资金流动对市场效率的影响
</w:t></w:r></w:p><w:p><w:pPr><w:spacing w:after="0"/><w:numPr><w:ilvl w:val="0"/><w:numId w:val="2"/></w:numPr></w:pPr><w:r><w:rPr/><w:t xml:space="preserve">其他可能的因素和参与者对基金回报的影响
</w:t></w:r></w:p><w:p><w:pPr><w:numPr><w:ilvl w:val="0"/><w:numId w:val="2"/></w:numPr></w:pPr><w:r><w:rPr/><w:t xml:space="preserve">更全面和客观的证据来支持或反驳这些主张</w:t></w:r></w:p><w:p><w:pPr><w:pStyle w:val="Heading1"/></w:pPr><w:bookmarkStart w:id="6" w:name="_Toc6"/><w:r><w:t>Report location:</w:t></w:r><w:bookmarkEnd w:id="6"/></w:p><w:p><w:hyperlink r:id="rId8" w:history="1"><w:r><w:rPr><w:color w:val="2980b9"/><w:u w:val="single"/></w:rPr><w:t xml:space="preserve">https://www.fullpicture.app/item/d7850e22bd662b1e9deb0d365b2b013c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5E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0200137X?ref=cra_js_challenge&amp;fr=RR-1" TargetMode="External"/><Relationship Id="rId8" Type="http://schemas.openxmlformats.org/officeDocument/2006/relationships/hyperlink" Target="https://www.fullpicture.app/item/d7850e22bd662b1e9deb0d365b2b0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2024-01-16T10:38:09+01:00</dcterms:created>
  <dcterms:modified xsi:type="dcterms:W3CDTF">2024-01-16T10:38:09+01:00</dcterms:modified>
</cp:coreProperties>
</file>

<file path=docProps/custom.xml><?xml version="1.0" encoding="utf-8"?>
<Properties xmlns="http://schemas.openxmlformats.org/officeDocument/2006/custom-properties" xmlns:vt="http://schemas.openxmlformats.org/officeDocument/2006/docPropsVTypes"/>
</file>