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Which asset valuation and depreciation method should be used for regulated utilities? An analytical and simulation-based comparison-Web of Science Core Collection</w:t>
      </w:r>
      <w:br/>
      <w:hyperlink r:id="rId7" w:history="1">
        <w:r>
          <w:rPr>
            <w:color w:val="2980b9"/>
            <w:u w:val="single"/>
          </w:rPr>
          <w:t xml:space="preserve">https://www.webofscience.com/wos/woscc/full-record/WOS:000379635000009</w:t>
        </w:r>
      </w:hyperlink>
    </w:p>
    <w:p>
      <w:pPr>
        <w:pStyle w:val="Heading1"/>
      </w:pPr>
      <w:bookmarkStart w:id="2" w:name="_Toc2"/>
      <w:r>
        <w:t>Article summary:</w:t>
      </w:r>
      <w:bookmarkEnd w:id="2"/>
    </w:p>
    <w:p>
      <w:pPr>
        <w:jc w:val="both"/>
      </w:pPr>
      <w:r>
        <w:rPr/>
        <w:t xml:space="preserve">1. 本文比较了常用的资产估值和折旧方法，根据它们提供的充分投资激励、与市场发展的兼容性以及与财务会计原则的一致性来评估它们的优劣。</w:t>
      </w:r>
    </w:p>
    <w:p>
      <w:pPr>
        <w:jc w:val="both"/>
      </w:pPr>
      <w:r>
        <w:rPr/>
        <w:t xml:space="preserve">2. 研究发现，目前最有利的方法是当前替换成本法和年金折旧法。这两种方法之间存在结构上的差异，并且模拟分析表明，在多个资产集合中，各种折旧方法之间的差异不太明显，但在某些参数组合中仍然非常大，特别是在资产价格变动较大且资产寿命较长的情况下。</w:t>
      </w:r>
    </w:p>
    <w:p>
      <w:pPr>
        <w:jc w:val="both"/>
      </w:pPr>
      <w:r>
        <w:rPr/>
        <w:t xml:space="preserve">3. 这项研究对于规范公用事业公司选择适当的资产估值和折旧方法具有重要意义，可以为相关政策制定提供参考。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对于上述文章的详细批判性分析，以下是一些观点和见解：</w:t>
      </w:r>
    </w:p>
    <w:p>
      <w:pPr>
        <w:jc w:val="both"/>
      </w:pPr>
      <w:r>
        <w:rPr/>
        <w:t xml:space="preserve"/>
      </w:r>
    </w:p>
    <w:p>
      <w:pPr>
        <w:jc w:val="both"/>
      </w:pPr>
      <w:r>
        <w:rPr/>
        <w:t xml:space="preserve">1. 偏见及其来源：文章没有明确提到作者的背景和利益相关方。这可能导致潜在的偏见，因为作者可能有特定的观点或利益，影响了他们对资产估值和折旧方法的评估。</w:t>
      </w:r>
    </w:p>
    <w:p>
      <w:pPr>
        <w:jc w:val="both"/>
      </w:pPr>
      <w:r>
        <w:rPr/>
        <w:t xml:space="preserve"/>
      </w:r>
    </w:p>
    <w:p>
      <w:pPr>
        <w:jc w:val="both"/>
      </w:pPr>
      <w:r>
        <w:rPr/>
        <w:t xml:space="preserve">2. 片面报道：文章只比较了最常用的资产估值和折旧方法，并没有考虑其他可能存在的方法。这种片面报道可能导致读者对其他潜在方法的认识不足。</w:t>
      </w:r>
    </w:p>
    <w:p>
      <w:pPr>
        <w:jc w:val="both"/>
      </w:pPr>
      <w:r>
        <w:rPr/>
        <w:t xml:space="preserve"/>
      </w:r>
    </w:p>
    <w:p>
      <w:pPr>
        <w:jc w:val="both"/>
      </w:pPr>
      <w:r>
        <w:rPr/>
        <w:t xml:space="preserve">3. 无根据的主张：文章声称当前替换成本法和年金折旧法是最有优势的方法，但没有提供充分的证据来支持这一主张。缺乏具体数据和实证研究结果使得读者难以接受这个结论。</w:t>
      </w:r>
    </w:p>
    <w:p>
      <w:pPr>
        <w:jc w:val="both"/>
      </w:pPr>
      <w:r>
        <w:rPr/>
        <w:t xml:space="preserve"/>
      </w:r>
    </w:p>
    <w:p>
      <w:pPr>
        <w:jc w:val="both"/>
      </w:pPr>
      <w:r>
        <w:rPr/>
        <w:t xml:space="preserve">4. 缺失的考虑点：文章没有讨论与监管公用事业相关的特殊问题，如政府干预、市场竞争、环境因素等。这些因素可能会对资产估值和折旧方法产生重要影响，但未被纳入考虑。</w:t>
      </w:r>
    </w:p>
    <w:p>
      <w:pPr>
        <w:jc w:val="both"/>
      </w:pPr>
      <w:r>
        <w:rPr/>
        <w:t xml:space="preserve"/>
      </w:r>
    </w:p>
    <w:p>
      <w:pPr>
        <w:jc w:val="both"/>
      </w:pPr>
      <w:r>
        <w:rPr/>
        <w:t xml:space="preserve">5. 所提出主张的缺失证据：文章没有提供足够的数据或实证研究来支持其对资产估值和折旧方法的建议。缺乏实证支持使得这些主张缺乏可信度。</w:t>
      </w:r>
    </w:p>
    <w:p>
      <w:pPr>
        <w:jc w:val="both"/>
      </w:pPr>
      <w:r>
        <w:rPr/>
        <w:t xml:space="preserve"/>
      </w:r>
    </w:p>
    <w:p>
      <w:pPr>
        <w:jc w:val="both"/>
      </w:pPr>
      <w:r>
        <w:rPr/>
        <w:t xml:space="preserve">6. 未探索的反驳：文章没有探讨可能存在的反对意见或争议观点。这种单方面的呈现可能导致读者对问题的理解不完整。</w:t>
      </w:r>
    </w:p>
    <w:p>
      <w:pPr>
        <w:jc w:val="both"/>
      </w:pPr>
      <w:r>
        <w:rPr/>
        <w:t xml:space="preserve"/>
      </w:r>
    </w:p>
    <w:p>
      <w:pPr>
        <w:jc w:val="both"/>
      </w:pPr>
      <w:r>
        <w:rPr/>
        <w:t xml:space="preserve">7. 宣传内容：文章中使用了一些宣传性语言，如将某些方法描述为“最有优势”的方法。这种宣传性语言可能会影响读者对文章结论的客观评估。</w:t>
      </w:r>
    </w:p>
    <w:p>
      <w:pPr>
        <w:jc w:val="both"/>
      </w:pPr>
      <w:r>
        <w:rPr/>
        <w:t xml:space="preserve"/>
      </w:r>
    </w:p>
    <w:p>
      <w:pPr>
        <w:jc w:val="both"/>
      </w:pPr>
      <w:r>
        <w:rPr/>
        <w:t xml:space="preserve">综上所述，上述文章存在一些潜在问题，包括偏见、片面报道、无根据的主张、缺失的考虑点、所提出主张的缺失证据、未探索的反驳和宣传内容等。读者应该保持批判思维，并寻找更多来源来获得全面和客观的信息。</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其他可能存在的资产估值和折旧方法
</w:t>
      </w:r>
    </w:p>
    <w:p>
      <w:pPr>
        <w:spacing w:after="0"/>
        <w:numPr>
          <w:ilvl w:val="0"/>
          <w:numId w:val="2"/>
        </w:numPr>
      </w:pPr>
      <w:r>
        <w:rPr/>
        <w:t xml:space="preserve">替换成本法和年金折旧法的优势证据
</w:t>
      </w:r>
    </w:p>
    <w:p>
      <w:pPr>
        <w:spacing w:after="0"/>
        <w:numPr>
          <w:ilvl w:val="0"/>
          <w:numId w:val="2"/>
        </w:numPr>
      </w:pPr>
      <w:r>
        <w:rPr/>
        <w:t xml:space="preserve">监管公用事业相关的特殊问题
</w:t>
      </w:r>
    </w:p>
    <w:p>
      <w:pPr>
        <w:spacing w:after="0"/>
        <w:numPr>
          <w:ilvl w:val="0"/>
          <w:numId w:val="2"/>
        </w:numPr>
      </w:pPr>
      <w:r>
        <w:rPr/>
        <w:t xml:space="preserve">资产估值和折旧方法的实证研究支持
</w:t>
      </w:r>
    </w:p>
    <w:p>
      <w:pPr>
        <w:numPr>
          <w:ilvl w:val="0"/>
          <w:numId w:val="2"/>
        </w:numPr>
      </w:pPr>
      <w:r>
        <w:rPr/>
        <w:t xml:space="preserve">反对意见或争议观点</w:t>
      </w:r>
    </w:p>
    <w:p>
      <w:pPr>
        <w:pStyle w:val="Heading1"/>
      </w:pPr>
      <w:bookmarkStart w:id="6" w:name="_Toc6"/>
      <w:r>
        <w:t>Report location:</w:t>
      </w:r>
      <w:bookmarkEnd w:id="6"/>
    </w:p>
    <w:p>
      <w:hyperlink r:id="rId8" w:history="1">
        <w:r>
          <w:rPr>
            <w:color w:val="2980b9"/>
            <w:u w:val="single"/>
          </w:rPr>
          <w:t xml:space="preserve">https://www.fullpicture.app/item/d8cc38901a9bc0c528566752ec4fe7b0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24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379635000009" TargetMode="External"/><Relationship Id="rId8" Type="http://schemas.openxmlformats.org/officeDocument/2006/relationships/hyperlink" Target="https://www.fullpicture.app/item/d8cc38901a9bc0c528566752ec4fe7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2024-01-11T04:41:49+01:00</dcterms:created>
  <dcterms:modified xsi:type="dcterms:W3CDTF">2024-01-11T04:41:49+01:00</dcterms:modified>
</cp:coreProperties>
</file>

<file path=docProps/custom.xml><?xml version="1.0" encoding="utf-8"?>
<Properties xmlns="http://schemas.openxmlformats.org/officeDocument/2006/custom-properties" xmlns:vt="http://schemas.openxmlformats.org/officeDocument/2006/docPropsVTypes"/>
</file>