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Heads Up — Do ESG Matters Affect Accounting and Financial Reporting Today? (May 26, 2021) | DART – Deloitte Accounting Research Tool</w:t>
      </w:r>
      <w:br/>
      <w:hyperlink r:id="rId7" w:history="1">
        <w:r>
          <w:rPr>
            <w:color w:val="2980b9"/>
            <w:u w:val="single"/>
          </w:rPr>
          <w:t xml:space="preserve">https://dart.deloitte.com/USDART/home/publications/deloitte/heads-up/2021/esg-affect-financial-reporting</w:t>
        </w:r>
      </w:hyperlink>
    </w:p>
    <w:p>
      <w:pPr>
        <w:pStyle w:val="Heading1"/>
      </w:pPr>
      <w:bookmarkStart w:id="2" w:name="_Toc2"/>
      <w:r>
        <w:t>Article summary:</w:t>
      </w:r>
      <w:bookmarkEnd w:id="2"/>
    </w:p>
    <w:p>
      <w:pPr>
        <w:jc w:val="both"/>
      </w:pPr>
      <w:r>
        <w:rPr/>
        <w:t xml:space="preserve">1. ESG (Environmental, Social, and Governance) matters are increasingly affecting accounting and financial reporting.</w:t>
      </w:r>
    </w:p>
    <w:p>
      <w:pPr>
        <w:jc w:val="both"/>
      </w:pPr>
      <w:r>
        <w:rPr/>
        <w:t xml:space="preserve">2. Companies need to consider the impact of ESG factors on their financial statements, including potential impairments, disclosures, and valuation adjustments.</w:t>
      </w:r>
    </w:p>
    <w:p>
      <w:pPr>
        <w:jc w:val="both"/>
      </w:pPr>
      <w:r>
        <w:rPr/>
        <w:t xml:space="preserve">3. There are various resources available to help companies navigate ESG reporting requirements and integrate sustainability into their business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"Heads Up — Do ESG Matters Affect Accounting and Financial Reporting Today?" published on Deloitte's Accounting Research Tool (DART) on May 26, 2021, provides an overview of the impact of environmental, social, and governance (ESG) matters on accounting and financial reporting. The article is informative and well-structured, but it has some potential biases and limitations that need to be considered.</w:t>
      </w:r>
    </w:p>
    <w:p>
      <w:pPr>
        <w:jc w:val="both"/>
      </w:pPr>
      <w:r>
        <w:rPr/>
        <w:t xml:space="preserve"/>
      </w:r>
    </w:p>
    <w:p>
      <w:pPr>
        <w:jc w:val="both"/>
      </w:pPr>
      <w:r>
        <w:rPr/>
        <w:t xml:space="preserve">One of the potential biases in the article is its focus on the benefits of ESG reporting for companies. The article highlights how ESG reporting can help companies improve their reputation, attract investors, and manage risks. However, it does not explore the potential drawbacks or challenges associated with ESG reporting. For example, some companies may face difficulties in collecting reliable data on ESG matters or may incur additional costs to comply with ESG reporting requirements.</w:t>
      </w:r>
    </w:p>
    <w:p>
      <w:pPr>
        <w:jc w:val="both"/>
      </w:pPr>
      <w:r>
        <w:rPr/>
        <w:t xml:space="preserve"/>
      </w:r>
    </w:p>
    <w:p>
      <w:pPr>
        <w:jc w:val="both"/>
      </w:pPr>
      <w:r>
        <w:rPr/>
        <w:t xml:space="preserve">Another limitation of the article is its narrow scope. The article mainly focuses on how ESG matters affect financial reporting and accounting standards. It does not address broader issues related to sustainability or corporate social responsibility (CSR). For instance, the article does not discuss how companies can integrate ESG considerations into their business strategy or operations.</w:t>
      </w:r>
    </w:p>
    <w:p>
      <w:pPr>
        <w:jc w:val="both"/>
      </w:pPr>
      <w:r>
        <w:rPr/>
        <w:t xml:space="preserve"/>
      </w:r>
    </w:p>
    <w:p>
      <w:pPr>
        <w:jc w:val="both"/>
      </w:pPr>
      <w:r>
        <w:rPr/>
        <w:t xml:space="preserve">The article also lacks evidence to support some of its claims. For example, it states that "investors are increasingly demanding more information about a company's ESG performance." However, it does not provide any data or research to back up this claim. Similarly, the article suggests that companies that fail to report on ESG matters may face reputational damage or legal risks. Still, it does not provide any examples or case studies to illustrate these risks.</w:t>
      </w:r>
    </w:p>
    <w:p>
      <w:pPr>
        <w:jc w:val="both"/>
      </w:pPr>
      <w:r>
        <w:rPr/>
        <w:t xml:space="preserve"/>
      </w:r>
    </w:p>
    <w:p>
      <w:pPr>
        <w:jc w:val="both"/>
      </w:pPr>
      <w:r>
        <w:rPr/>
        <w:t xml:space="preserve">Moreover, the article presents a one-sided view of the topic by focusing only on how companies can benefit from ESG reporting. It does not explore any counterarguments or alternative perspectives that may challenge the value of ESG reporting for companies.</w:t>
      </w:r>
    </w:p>
    <w:p>
      <w:pPr>
        <w:jc w:val="both"/>
      </w:pPr>
      <w:r>
        <w:rPr/>
        <w:t xml:space="preserve"/>
      </w:r>
    </w:p>
    <w:p>
      <w:pPr>
        <w:jc w:val="both"/>
      </w:pPr>
      <w:r>
        <w:rPr/>
        <w:t xml:space="preserve">Finally, there is some promotional content in the article, as it highlights Deloitte's expertise in providing ESG-related services to clients. While this is not necessarily a bias, it may raise questions about the objectivity of the article.</w:t>
      </w:r>
    </w:p>
    <w:p>
      <w:pPr>
        <w:jc w:val="both"/>
      </w:pPr>
      <w:r>
        <w:rPr/>
        <w:t xml:space="preserve"/>
      </w:r>
    </w:p>
    <w:p>
      <w:pPr>
        <w:jc w:val="both"/>
      </w:pPr>
      <w:r>
        <w:rPr/>
        <w:t xml:space="preserve">In conclusion, while the article provides useful insights into how ESG matters affect accounting and financial reporting, it has some potential biases and limitations that need to be considered. Readers should be aware of these limitations and seek additional information from other sources to form a more comprehensive view of the topic.</w:t>
      </w:r>
    </w:p>
    <w:p>
      <w:pPr>
        <w:pStyle w:val="Heading1"/>
      </w:pPr>
      <w:bookmarkStart w:id="5" w:name="_Toc5"/>
      <w:r>
        <w:t>Topics for further research:</w:t>
      </w:r>
      <w:bookmarkEnd w:id="5"/>
    </w:p>
    <w:p>
      <w:pPr>
        <w:spacing w:after="0"/>
        <w:numPr>
          <w:ilvl w:val="0"/>
          <w:numId w:val="2"/>
        </w:numPr>
      </w:pPr>
      <w:r>
        <w:rPr/>
        <w:t xml:space="preserve">Integrating ESG considerations into business strategy and operations
</w:t>
      </w:r>
    </w:p>
    <w:p>
      <w:pPr>
        <w:spacing w:after="0"/>
        <w:numPr>
          <w:ilvl w:val="0"/>
          <w:numId w:val="2"/>
        </w:numPr>
      </w:pPr>
      <w:r>
        <w:rPr/>
        <w:t xml:space="preserve">Challenges and drawbacks of ESG reporting for companies
</w:t>
      </w:r>
    </w:p>
    <w:p>
      <w:pPr>
        <w:spacing w:after="0"/>
        <w:numPr>
          <w:ilvl w:val="0"/>
          <w:numId w:val="2"/>
        </w:numPr>
      </w:pPr>
      <w:r>
        <w:rPr/>
        <w:t xml:space="preserve">Evidence of investor demand for ESG performance information
</w:t>
      </w:r>
    </w:p>
    <w:p>
      <w:pPr>
        <w:spacing w:after="0"/>
        <w:numPr>
          <w:ilvl w:val="0"/>
          <w:numId w:val="2"/>
        </w:numPr>
      </w:pPr>
      <w:r>
        <w:rPr/>
        <w:t xml:space="preserve">Reputational and legal risks for companies that fail to report on ESG matters
</w:t>
      </w:r>
    </w:p>
    <w:p>
      <w:pPr>
        <w:spacing w:after="0"/>
        <w:numPr>
          <w:ilvl w:val="0"/>
          <w:numId w:val="2"/>
        </w:numPr>
      </w:pPr>
      <w:r>
        <w:rPr/>
        <w:t xml:space="preserve">Alternative perspectives on the value of ESG reporting for companies
</w:t>
      </w:r>
    </w:p>
    <w:p>
      <w:pPr>
        <w:numPr>
          <w:ilvl w:val="0"/>
          <w:numId w:val="2"/>
        </w:numPr>
      </w:pPr>
      <w:r>
        <w:rPr/>
        <w:t xml:space="preserve">Broader issues related to sustainability and corporate social responsibility (CSR)</w:t>
      </w:r>
    </w:p>
    <w:p>
      <w:pPr>
        <w:pStyle w:val="Heading1"/>
      </w:pPr>
      <w:bookmarkStart w:id="6" w:name="_Toc6"/>
      <w:r>
        <w:t>Report location:</w:t>
      </w:r>
      <w:bookmarkEnd w:id="6"/>
    </w:p>
    <w:p>
      <w:hyperlink r:id="rId8" w:history="1">
        <w:r>
          <w:rPr>
            <w:color w:val="2980b9"/>
            <w:u w:val="single"/>
          </w:rPr>
          <w:t xml:space="preserve">https://www.fullpicture.app/item/d93c617ca5f87207720c44beb13d4daa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08E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rt.deloitte.com/USDART/home/publications/deloitte/heads-up/2021/esg-affect-financial-reporting" TargetMode="External"/><Relationship Id="rId8" Type="http://schemas.openxmlformats.org/officeDocument/2006/relationships/hyperlink" Target="https://www.fullpicture.app/item/d93c617ca5f87207720c44beb13d4d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2023-06-25T13:10:22+02:00</dcterms:created>
  <dcterms:modified xsi:type="dcterms:W3CDTF">2023-06-25T13:10:22+02:00</dcterms:modified>
</cp:coreProperties>
</file>

<file path=docProps/custom.xml><?xml version="1.0" encoding="utf-8"?>
<Properties xmlns="http://schemas.openxmlformats.org/officeDocument/2006/custom-properties" xmlns:vt="http://schemas.openxmlformats.org/officeDocument/2006/docPropsVTypes"/>
</file>