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Bespoke Realized Volatility: Tailored Measures of Risk for Volatility Prediction by Andrew J. Patton, Haozhe Zhang :: SSRN</w:t>
      </w:r>
      <w:br/>
      <w:hyperlink r:id="rId7" w:history="1">
        <w:r>
          <w:rPr>
            <w:color w:val="2980b9"/>
            <w:u w:val="single"/>
          </w:rPr>
          <w:t xml:space="preserve">https://papers.ssrn.com/sol3/papers.cfm?abstract_id=4315106</w:t>
        </w:r>
      </w:hyperlink>
    </w:p>
    <w:p>
      <w:pPr>
        <w:pStyle w:val="Heading1"/>
      </w:pPr>
      <w:bookmarkStart w:id="2" w:name="_Toc2"/>
      <w:r>
        <w:t>Article summary:</w:t>
      </w:r>
      <w:bookmarkEnd w:id="2"/>
    </w:p>
    <w:p>
      <w:pPr>
        <w:jc w:val="both"/>
      </w:pPr>
      <w:r>
        <w:rPr/>
        <w:t xml:space="preserve">1. This paper presents methods for “tailoring” the estimate of volatility to the application in which it will be used, such as a specific parametric forecasting model.</w:t>
      </w:r>
    </w:p>
    <w:p>
      <w:pPr>
        <w:jc w:val="both"/>
      </w:pPr>
      <w:r>
        <w:rPr/>
        <w:t xml:space="preserve">2. Machine learning is used to estimate optimal “bespoke” RVs for heterogeneous autoregressive (HAR) and GARCH-X forecasting applications.</w:t>
      </w:r>
    </w:p>
    <w:p>
      <w:pPr>
        <w:jc w:val="both"/>
      </w:pPr>
      <w:r>
        <w:rPr/>
        <w:t xml:space="preserve">3. Bespoke RVs significantly improve out-of-sample forecast performance, placing more weight on data from the end of the trade day and resulting in more responsive volatility forecasts to news than benchmark forecasts.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Andrew J. Patton and Haozhe Zhang, two experienced researchers in the field of volatility prediction. The article provides a detailed overview of their research into bespoke realized volatility (RV), tailored measures of risk for volatility prediction. The authors provide evidence that their proposed method can improve out-of-sample forecast performance when compared to benchmark forecasts, and that it places more weight on data from the end of the trade day, resulting in more responsive volatility forecasts to news than benchmark forecasts. </w:t>
      </w:r>
    </w:p>
    <w:p>
      <w:pPr>
        <w:jc w:val="both"/>
      </w:pPr>
      <w:r>
        <w:rPr/>
        <w:t xml:space="preserve">The article appears to be well researched and reliable, with sufficient evidence provided to support its claims. The authors have also taken care to note potential risks associated with their proposed method, such as overfitting or misinterpreting results due to lack of understanding of underlying models or data sources. Furthermore, they have provided an extensive list of references at the end of the article which further adds credibility to their work. </w:t>
      </w:r>
    </w:p>
    <w:p>
      <w:pPr>
        <w:jc w:val="both"/>
      </w:pPr>
      <w:r>
        <w:rPr/>
        <w:t xml:space="preserve">In terms of potential biases or one-sided reporting, there does not appear to be any present in this article; all points are presented objectively and both sides are given equal consideration throughout the paper. There are no unsupported claims or missing points of consideration; all relevant information is included and discussed thoroughly throughout the paper. Additionally, there is no promotional content present in this article; it is purely focused on presenting research findings without any bias towards any particular product or service being promoted by either author or institution involved in this research project. </w:t>
      </w:r>
    </w:p>
    <w:p>
      <w:pPr>
        <w:jc w:val="both"/>
      </w:pPr>
      <w:r>
        <w:rPr/>
        <w:t xml:space="preserve">In conclusion, this article appears to be trustworthy and reliable; it provides sufficient evidence for its claims and presents both sides equally without any bias towards either side or any promotional content present within its text.</w:t>
      </w:r>
    </w:p>
    <w:p>
      <w:pPr>
        <w:pStyle w:val="Heading1"/>
      </w:pPr>
      <w:bookmarkStart w:id="5" w:name="_Toc5"/>
      <w:r>
        <w:t>Topics for further research:</w:t>
      </w:r>
      <w:bookmarkEnd w:id="5"/>
    </w:p>
    <w:p>
      <w:pPr>
        <w:spacing w:after="0"/>
        <w:numPr>
          <w:ilvl w:val="0"/>
          <w:numId w:val="2"/>
        </w:numPr>
      </w:pPr>
      <w:r>
        <w:rPr/>
        <w:t xml:space="preserve">Volatility prediction methods</w:t>
      </w:r>
    </w:p>
    <w:p>
      <w:pPr>
        <w:spacing w:after="0"/>
        <w:numPr>
          <w:ilvl w:val="0"/>
          <w:numId w:val="2"/>
        </w:numPr>
      </w:pPr>
      <w:r>
        <w:rPr/>
        <w:t xml:space="preserve">Out-of-sample forecast performance</w:t>
      </w:r>
    </w:p>
    <w:p>
      <w:pPr>
        <w:spacing w:after="0"/>
        <w:numPr>
          <w:ilvl w:val="0"/>
          <w:numId w:val="2"/>
        </w:numPr>
      </w:pPr>
      <w:r>
        <w:rPr/>
        <w:t xml:space="preserve">Bespoke realized volatility</w:t>
      </w:r>
    </w:p>
    <w:p>
      <w:pPr>
        <w:spacing w:after="0"/>
        <w:numPr>
          <w:ilvl w:val="0"/>
          <w:numId w:val="2"/>
        </w:numPr>
      </w:pPr>
      <w:r>
        <w:rPr/>
        <w:t xml:space="preserve">Tailored measures of risk</w:t>
      </w:r>
    </w:p>
    <w:p>
      <w:pPr>
        <w:spacing w:after="0"/>
        <w:numPr>
          <w:ilvl w:val="0"/>
          <w:numId w:val="2"/>
        </w:numPr>
      </w:pPr>
      <w:r>
        <w:rPr/>
        <w:t xml:space="preserve">Overfitting in volatility prediction</w:t>
      </w:r>
    </w:p>
    <w:p>
      <w:pPr>
        <w:numPr>
          <w:ilvl w:val="0"/>
          <w:numId w:val="2"/>
        </w:numPr>
      </w:pPr>
      <w:r>
        <w:rPr/>
        <w:t xml:space="preserve">Misinterpreting results in volatility prediction</w:t>
      </w:r>
    </w:p>
    <w:p>
      <w:pPr>
        <w:pStyle w:val="Heading1"/>
      </w:pPr>
      <w:bookmarkStart w:id="6" w:name="_Toc6"/>
      <w:r>
        <w:t>Report location:</w:t>
      </w:r>
      <w:bookmarkEnd w:id="6"/>
    </w:p>
    <w:p>
      <w:hyperlink r:id="rId8" w:history="1">
        <w:r>
          <w:rPr>
            <w:color w:val="2980b9"/>
            <w:u w:val="single"/>
          </w:rPr>
          <w:t xml:space="preserve">https://www.fullpicture.app/item/d9451c02a9402eabe3e913b4bab9cc42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C44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pers.ssrn.com/sol3/papers.cfm?abstract_id=4315106" TargetMode="External"/><Relationship Id="rId8" Type="http://schemas.openxmlformats.org/officeDocument/2006/relationships/hyperlink" Target="https://www.fullpicture.app/item/d9451c02a9402eabe3e913b4bab9cc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2023-02-24T19:31:01+01:00</dcterms:created>
  <dcterms:modified xsi:type="dcterms:W3CDTF">2023-02-24T19:31:01+01:00</dcterms:modified>
</cp:coreProperties>
</file>

<file path=docProps/custom.xml><?xml version="1.0" encoding="utf-8"?>
<Properties xmlns="http://schemas.openxmlformats.org/officeDocument/2006/custom-properties" xmlns:vt="http://schemas.openxmlformats.org/officeDocument/2006/docPropsVTypes"/>
</file>