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High-throughput screening and rational design of biofunctionalized surfaces with optimized biocompatibility and antimicrobial activity | Nature Communications</w:t>
      </w:r>
      <w:br/>
      <w:hyperlink r:id="rId7" w:history="1">
        <w:r>
          <w:rPr>
            <w:color w:val="2980b9"/>
            <w:u w:val="single"/>
          </w:rPr>
          <w:t xml:space="preserve">https://www.nature.com/articles/s41467-021-23954-8</w:t>
        </w:r>
      </w:hyperlink>
    </w:p>
    <w:p>
      <w:pPr>
        <w:pStyle w:val="Heading1"/>
      </w:pPr>
      <w:bookmarkStart w:id="2" w:name="_Toc2"/>
      <w:r>
        <w:t>Article summary:</w:t>
      </w:r>
      <w:bookmarkEnd w:id="2"/>
    </w:p>
    <w:p>
      <w:pPr>
        <w:jc w:val="both"/>
      </w:pPr>
      <w:r>
        <w:rPr/>
        <w:t xml:space="preserve">1. Biofunctionalization of biomaterial surfaces is a suitable strategy for improving biocompatibility and antimicrobial activity.</w:t>
      </w:r>
    </w:p>
    <w:p>
      <w:pPr>
        <w:jc w:val="both"/>
      </w:pPr>
      <w:r>
        <w:rPr/>
        <w:t xml:space="preserve">2. The density of peptides on the surface plays a critical role in biofunction, with low densities causing insufficient activities and high densities generating undesired side effects.</w:t>
      </w:r>
    </w:p>
    <w:p>
      <w:pPr>
        <w:jc w:val="both"/>
      </w:pPr>
      <w:r>
        <w:rPr/>
        <w:t xml:space="preserve">3. A high-throughput strategy based on gradient surfaces can be used to discover optimized parameters for forming specific peptide densities that achieve best biocompatibility and excellent antimicrobial activity both in vitro and in vivo.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"High-throughput screening and rational design of biofunctionalized surfaces with optimized biocompatibility and antimicrobial activity" published in Nature Communications discusses the development of a high-throughput strategy for the rational design and preparation of biofunctionalized surfaces. The authors focus on the display of peptides on biomaterial surfaces to stimulate specific bioactivities, including biocompatibility, hemocompatibility, antimicrobial activity, osteogenic activity, or angiogenic activity. They use RGD peptide and HHC36 peptide as two model peptides to functionalize titanium (Ti) substrates.</w:t>
      </w:r>
    </w:p>
    <w:p>
      <w:pPr>
        <w:jc w:val="both"/>
      </w:pPr>
      <w:r>
        <w:rPr/>
        <w:t xml:space="preserve"/>
      </w:r>
    </w:p>
    <w:p>
      <w:pPr>
        <w:jc w:val="both"/>
      </w:pPr>
      <w:r>
        <w:rPr/>
        <w:t xml:space="preserve">The article provides a detailed description of the methodology used to prepare gradient surfaces with mono or dual peptides on Ti substrates. The authors demonstrate that the resultant gradient surface can be used as a high-throughput platform to discover the optimized parameters for forming a specific peptide density that can achieve best biocompatibility and excellent antimicrobial activity both in vitro and in vivo. They also show that their strategy can be extended to generate gradient surfaces on other materials such as gold.</w:t>
      </w:r>
    </w:p>
    <w:p>
      <w:pPr>
        <w:jc w:val="both"/>
      </w:pPr>
      <w:r>
        <w:rPr/>
        <w:t xml:space="preserve"/>
      </w:r>
    </w:p>
    <w:p>
      <w:pPr>
        <w:jc w:val="both"/>
      </w:pPr>
      <w:r>
        <w:rPr/>
        <w:t xml:space="preserve">While the article provides valuable insights into the development of a high-throughput strategy for rational design and preparation of biofunctionalized surfaces, there are some potential biases and limitations that need to be considered. Firstly, the study focuses only on two model peptides, which may not represent all possible peptides that could be used for surface biofunctionalization. Secondly, while the authors claim that their strategy is efficient and practical, they do not provide any comparison with other existing methods for surface optimization.</w:t>
      </w:r>
    </w:p>
    <w:p>
      <w:pPr>
        <w:jc w:val="both"/>
      </w:pPr>
      <w:r>
        <w:rPr/>
        <w:t xml:space="preserve"/>
      </w:r>
    </w:p>
    <w:p>
      <w:pPr>
        <w:jc w:val="both"/>
      </w:pPr>
      <w:r>
        <w:rPr/>
        <w:t xml:space="preserve">Additionally, while the authors discuss the importance of optimizing peptide densities on biomaterial surfaces to avoid undesired side effects such as cytotoxicity or inhibiting tissue healing, they do not provide any evidence or discussion about potential risks associated with using these biofunctionalized surfaces in vivo. It would have been useful if they had discussed any potential risks associated with using these surfaces in clinical applications.</w:t>
      </w:r>
    </w:p>
    <w:p>
      <w:pPr>
        <w:jc w:val="both"/>
      </w:pPr>
      <w:r>
        <w:rPr/>
        <w:t xml:space="preserve"/>
      </w:r>
    </w:p>
    <w:p>
      <w:pPr>
        <w:jc w:val="both"/>
      </w:pPr>
      <w:r>
        <w:rPr/>
        <w:t xml:space="preserve">Furthermore, while the authors demonstrate that their strategy can be extended to generate gradient surfaces on other materials such as gold, they do not provide any evidence or discussion about whether this approach is applicable to other types of biomaterials commonly used in clinical settings.</w:t>
      </w:r>
    </w:p>
    <w:p>
      <w:pPr>
        <w:jc w:val="both"/>
      </w:pPr>
      <w:r>
        <w:rPr/>
        <w:t xml:space="preserve"/>
      </w:r>
    </w:p>
    <w:p>
      <w:pPr>
        <w:jc w:val="both"/>
      </w:pPr>
      <w:r>
        <w:rPr/>
        <w:t xml:space="preserve">In conclusion, while the article provides valuable insights into developing a high-throughput strategy for rational design and preparation of biofunctionalized surfaces with optimized biocompatibility and antimicrobial activity, it has some limitations that need to be considered. The study focuses only on two model peptides and does not provide any comparison with other existing methods for surface optimization. Additionally, potential risks associated with using these biofunctionalized surfaces in vivo are not discussed.</w:t>
      </w:r>
    </w:p>
    <w:p>
      <w:pPr>
        <w:pStyle w:val="Heading1"/>
      </w:pPr>
      <w:bookmarkStart w:id="5" w:name="_Toc5"/>
      <w:r>
        <w:t>Topics for further research:</w:t>
      </w:r>
      <w:bookmarkEnd w:id="5"/>
    </w:p>
    <w:p>
      <w:pPr>
        <w:spacing w:after="0"/>
        <w:numPr>
          <w:ilvl w:val="0"/>
          <w:numId w:val="2"/>
        </w:numPr>
      </w:pPr>
      <w:r>
        <w:rPr/>
        <w:t xml:space="preserve">Risks associated with using biofunctionalized surfaces in clinical applications
</w:t>
      </w:r>
    </w:p>
    <w:p>
      <w:pPr>
        <w:spacing w:after="0"/>
        <w:numPr>
          <w:ilvl w:val="0"/>
          <w:numId w:val="2"/>
        </w:numPr>
      </w:pPr>
      <w:r>
        <w:rPr/>
        <w:t xml:space="preserve">Comparison of different methods for surface optimization
</w:t>
      </w:r>
    </w:p>
    <w:p>
      <w:pPr>
        <w:spacing w:after="0"/>
        <w:numPr>
          <w:ilvl w:val="0"/>
          <w:numId w:val="2"/>
        </w:numPr>
      </w:pPr>
      <w:r>
        <w:rPr/>
        <w:t xml:space="preserve">Other types of biomaterials suitable for gradient surface generation
</w:t>
      </w:r>
    </w:p>
    <w:p>
      <w:pPr>
        <w:spacing w:after="0"/>
        <w:numPr>
          <w:ilvl w:val="0"/>
          <w:numId w:val="2"/>
        </w:numPr>
      </w:pPr>
      <w:r>
        <w:rPr/>
        <w:t xml:space="preserve">Peptides for surface biofunctionalization beyond RGD and HHC36
</w:t>
      </w:r>
    </w:p>
    <w:p>
      <w:pPr>
        <w:spacing w:after="0"/>
        <w:numPr>
          <w:ilvl w:val="0"/>
          <w:numId w:val="2"/>
        </w:numPr>
      </w:pPr>
      <w:r>
        <w:rPr/>
        <w:t xml:space="preserve">Long-term effects of biofunctionalized surfaces on tissue healing
</w:t>
      </w:r>
    </w:p>
    <w:p>
      <w:pPr>
        <w:numPr>
          <w:ilvl w:val="0"/>
          <w:numId w:val="2"/>
        </w:numPr>
      </w:pPr>
      <w:r>
        <w:rPr/>
        <w:t xml:space="preserve">Regulatory considerations for clinical use of biofunctionalized surfaces</w:t>
      </w:r>
    </w:p>
    <w:p>
      <w:pPr>
        <w:pStyle w:val="Heading1"/>
      </w:pPr>
      <w:bookmarkStart w:id="6" w:name="_Toc6"/>
      <w:r>
        <w:t>Report location:</w:t>
      </w:r>
      <w:bookmarkEnd w:id="6"/>
    </w:p>
    <w:p>
      <w:hyperlink r:id="rId8" w:history="1">
        <w:r>
          <w:rPr>
            <w:color w:val="2980b9"/>
            <w:u w:val="single"/>
          </w:rPr>
          <w:t xml:space="preserve">https://www.fullpicture.app/item/d9a38d55b91951063d699e1bbfd5f3b5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1F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3954-8" TargetMode="External"/><Relationship Id="rId8" Type="http://schemas.openxmlformats.org/officeDocument/2006/relationships/hyperlink" Target="https://www.fullpicture.app/item/d9a38d55b91951063d699e1bbfd5f3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2023-03-09T08:23:10+01:00</dcterms:created>
  <dcterms:modified xsi:type="dcterms:W3CDTF">2023-03-09T08:23:10+01:00</dcterms:modified>
</cp:coreProperties>
</file>

<file path=docProps/custom.xml><?xml version="1.0" encoding="utf-8"?>
<Properties xmlns="http://schemas.openxmlformats.org/officeDocument/2006/custom-properties" xmlns:vt="http://schemas.openxmlformats.org/officeDocument/2006/docPropsVTypes"/>
</file>