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Vývoj bojů (354. den): Jak miny pomohly zastavit útok na Vuhledar a jak mohou zastavit Ukrajince</w:t>
      </w:r>
      <w:br/>
      <w:hyperlink r:id="rId7" w:history="1">
        <w:r>
          <w:rPr>
            <w:color w:val="2980b9"/>
            <w:u w:val="single"/>
          </w:rPr>
          <w:t xml:space="preserve">https://denikn.cz/1079796/vyvoj-boju-354-den-jak-miny-pomohly-zastavit-utok-na-vuhledar-a-jak-mohou-zastavit-ukrajince/?ref=tit1</w:t>
        </w:r>
      </w:hyperlink>
    </w:p>
    <w:p>
      <w:pPr>
        <w:pStyle w:val="Heading1"/>
      </w:pPr>
      <w:bookmarkStart w:id="2" w:name="_Toc2"/>
      <w:r>
        <w:t>Article summary:</w:t>
      </w:r>
      <w:bookmarkEnd w:id="2"/>
    </w:p>
    <w:p>
      <w:pPr>
        <w:jc w:val="both"/>
      </w:pPr>
      <w:r>
        <w:rPr/>
        <w:t xml:space="preserve">1. The battle of Vuhledar has been detailed, with mines proving to be an effective weapon in the 21st century.</w:t>
      </w:r>
    </w:p>
    <w:p>
      <w:pPr>
        <w:jc w:val="both"/>
      </w:pPr>
      <w:r>
        <w:rPr/>
        <w:t xml:space="preserve">2. The Russian army suffered heavy losses due to their own reckless behavior and the Ukrainian forces' ability to re-mine roads.</w:t>
      </w:r>
    </w:p>
    <w:p>
      <w:pPr>
        <w:jc w:val="both"/>
      </w:pPr>
      <w:r>
        <w:rPr/>
        <w:t xml:space="preserve">3. The Russians have continued their offensive against Bachmut and Ivanivka, while also claiming to have attacked a key bridge near Odessa with a naval drone.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the current situation in Ukraine, focusing on the battle of Vuhledar and other recent events. It is written from a largely pro-Ukrainian perspective, as evidenced by its use of language such as “Russian aggression” and “okupované území” (occupied territory). This bias is further reinforced by its lack of exploration into counterarguments or alternative perspectives; for example, it does not mention any potential benefits that Russia may have gained from its actions in Ukraine or any possible risks associated with Ukrainian forces’ counterattacks. </w:t>
      </w:r>
    </w:p>
    <w:p>
      <w:pPr>
        <w:jc w:val="both"/>
      </w:pPr>
      <w:r>
        <w:rPr/>
        <w:t xml:space="preserve">The article also fails to provide evidence for some of its claims; for example, it states that “Ukrajinci ho [the bridge near Odessa] údajně preventivně vyhodili do povětří” (Ukrainians allegedly blew up the bridge preemptively), but does not provide any evidence for this claim. Additionally, it does not explore any potential consequences of these actions or consider how they may affect civilians living in the area. </w:t>
      </w:r>
    </w:p>
    <w:p>
      <w:pPr>
        <w:jc w:val="both"/>
      </w:pPr>
      <w:r>
        <w:rPr/>
        <w:t xml:space="preserve">The article also contains promotional content; for example, it includes a link to subscribe to email updates about “Ruská válka na Ukrajině” (the Russian war in Ukraine). This link serves no purpose other than to promote the website hosting the article and could be seen as an attempt to manipulate readers into subscribing. </w:t>
      </w:r>
    </w:p>
    <w:p>
      <w:pPr>
        <w:jc w:val="both"/>
      </w:pPr>
      <w:r>
        <w:rPr/>
        <w:t xml:space="preserve">In conclusion, this article provides an overview of recent events in Ukraine but fails to present both sides equally or explore potential risks associated with these events. It also lacks evidence for some of its claims and contains promotional content which could be seen as manipulative.</w:t>
      </w:r>
    </w:p>
    <w:p>
      <w:pPr>
        <w:pStyle w:val="Heading1"/>
      </w:pPr>
      <w:bookmarkStart w:id="5" w:name="_Toc5"/>
      <w:r>
        <w:t>Topics for further research:</w:t>
      </w:r>
      <w:bookmarkEnd w:id="5"/>
    </w:p>
    <w:p>
      <w:pPr>
        <w:spacing w:after="0"/>
        <w:numPr>
          <w:ilvl w:val="0"/>
          <w:numId w:val="2"/>
        </w:numPr>
      </w:pPr>
      <w:r>
        <w:rPr/>
        <w:t xml:space="preserve">Russian-Ukrainian conflict</w:t>
      </w:r>
    </w:p>
    <w:p>
      <w:pPr>
        <w:spacing w:after="0"/>
        <w:numPr>
          <w:ilvl w:val="0"/>
          <w:numId w:val="2"/>
        </w:numPr>
      </w:pPr>
      <w:r>
        <w:rPr/>
        <w:t xml:space="preserve">Impact of Russian aggression on Ukraine</w:t>
      </w:r>
    </w:p>
    <w:p>
      <w:pPr>
        <w:spacing w:after="0"/>
        <w:numPr>
          <w:ilvl w:val="0"/>
          <w:numId w:val="2"/>
        </w:numPr>
      </w:pPr>
      <w:r>
        <w:rPr/>
        <w:t xml:space="preserve">Ukrainian counterattacks against Russia</w:t>
      </w:r>
    </w:p>
    <w:p>
      <w:pPr>
        <w:spacing w:after="0"/>
        <w:numPr>
          <w:ilvl w:val="0"/>
          <w:numId w:val="2"/>
        </w:numPr>
      </w:pPr>
      <w:r>
        <w:rPr/>
        <w:t xml:space="preserve">Civilian casualties in Ukraine</w:t>
      </w:r>
    </w:p>
    <w:p>
      <w:pPr>
        <w:spacing w:after="0"/>
        <w:numPr>
          <w:ilvl w:val="0"/>
          <w:numId w:val="2"/>
        </w:numPr>
      </w:pPr>
      <w:r>
        <w:rPr/>
        <w:t xml:space="preserve">International response to Russian aggression</w:t>
      </w:r>
    </w:p>
    <w:p>
      <w:pPr>
        <w:numPr>
          <w:ilvl w:val="0"/>
          <w:numId w:val="2"/>
        </w:numPr>
      </w:pPr>
      <w:r>
        <w:rPr/>
        <w:t xml:space="preserve">Potential risks of Ukrainian military action</w:t>
      </w:r>
    </w:p>
    <w:p>
      <w:pPr>
        <w:pStyle w:val="Heading1"/>
      </w:pPr>
      <w:bookmarkStart w:id="6" w:name="_Toc6"/>
      <w:r>
        <w:t>Report location:</w:t>
      </w:r>
      <w:bookmarkEnd w:id="6"/>
    </w:p>
    <w:p>
      <w:hyperlink r:id="rId8" w:history="1">
        <w:r>
          <w:rPr>
            <w:color w:val="2980b9"/>
            <w:u w:val="single"/>
          </w:rPr>
          <w:t xml:space="preserve">https://www.fullpicture.app/item/d9b24dba12cff219d123510024ecf83f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7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079796/vyvoj-boju-354-den-jak-miny-pomohly-zastavit-utok-na-vuhledar-a-jak-mohou-zastavit-ukrajince/?ref=tit1" TargetMode="External"/><Relationship Id="rId8" Type="http://schemas.openxmlformats.org/officeDocument/2006/relationships/hyperlink" Target="https://www.fullpicture.app/item/d9b24dba12cff219d123510024ecf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2023-02-24T01:29:57+01:00</dcterms:created>
  <dcterms:modified xsi:type="dcterms:W3CDTF">2023-02-24T01:29:57+01:00</dcterms:modified>
</cp:coreProperties>
</file>

<file path=docProps/custom.xml><?xml version="1.0" encoding="utf-8"?>
<Properties xmlns="http://schemas.openxmlformats.org/officeDocument/2006/custom-properties" xmlns:vt="http://schemas.openxmlformats.org/officeDocument/2006/docPropsVTypes"/>
</file>