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and developing a literature-derived, population-based dietary inflammatory index - PMC</w:t>
      </w:r>
      <w:br/>
      <w:hyperlink r:id="rId7" w:history="1">
        <w:r>
          <w:rPr>
            <w:color w:val="2980b9"/>
            <w:u w:val="single"/>
          </w:rPr>
          <w:t xml:space="preserve">https://www.ncbi.nlm.nih.gov/pmc/articles/PMC3925198/</w:t>
        </w:r>
      </w:hyperlink>
    </w:p>
    <w:p>
      <w:pPr>
        <w:pStyle w:val="Heading1"/>
      </w:pPr>
      <w:bookmarkStart w:id="2" w:name="_Toc2"/>
      <w:r>
        <w:t>Article summary:</w:t>
      </w:r>
      <w:bookmarkEnd w:id="2"/>
    </w:p>
    <w:p>
      <w:pPr>
        <w:jc w:val="both"/>
      </w:pPr>
      <w:r>
        <w:rPr/>
        <w:t xml:space="preserve">1. 设计和开发了一种基于文献的、以人群为基础的饮食炎症指数（DII），用于比较不同人群饮食的炎症潜力。</w:t>
      </w:r>
    </w:p>
    <w:p>
      <w:pPr>
        <w:jc w:val="both"/>
      </w:pPr>
      <w:r>
        <w:rPr/>
        <w:t xml:space="preserve">2. 通过筛选与饮食对炎症影响相关的文章，并根据每个饮食参数对六种炎症生物标志物（IL-1β、IL-4、IL-6、IL-10、TNF-α和C反应蛋白）的影响进行评分，设计了DII评分算法。</w:t>
      </w:r>
    </w:p>
    <w:p>
      <w:pPr>
        <w:jc w:val="both"/>
      </w:pPr>
      <w:r>
        <w:rPr/>
        <w:t xml:space="preserve">3. 通过将个体摄入量与全球参考值进行比较，成功地将DII应用于流行病学和临床研究中，为进一步的营养评估提供了工具。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这篇文章是关于设计和开发一种基于文献的、以人群为基础的饮食炎症指数（DII）的。文章介绍了DII的设计过程和应用，并强调了其在流行病学和临床研究中的潜在价值。</w:t>
      </w:r>
    </w:p>
    <w:p>
      <w:pPr>
        <w:jc w:val="both"/>
      </w:pPr>
      <w:r>
        <w:rPr/>
        <w:t xml:space="preserve"/>
      </w:r>
    </w:p>
    <w:p>
      <w:pPr>
        <w:jc w:val="both"/>
      </w:pPr>
      <w:r>
        <w:rPr/>
        <w:t xml:space="preserve">然而，这篇文章存在一些潜在的偏见和问题。首先，文章没有提及对所选文献进行系统评价或元分析的方法，也没有提供对所选文献进行质量评估的详细信息。这可能导致选择性报道和片面观点。</w:t>
      </w:r>
    </w:p>
    <w:p>
      <w:pPr>
        <w:jc w:val="both"/>
      </w:pPr>
      <w:r>
        <w:rPr/>
        <w:t xml:space="preserve"/>
      </w:r>
    </w:p>
    <w:p>
      <w:pPr>
        <w:jc w:val="both"/>
      </w:pPr>
      <w:r>
        <w:rPr/>
        <w:t xml:space="preserve">其次，文章没有提供关于如何确定食物参数对六种炎症生物标志物影响的具体方法。这使得读者很难判断所使用的评分算法是否可靠和准确。</w:t>
      </w:r>
    </w:p>
    <w:p>
      <w:pPr>
        <w:jc w:val="both"/>
      </w:pPr>
      <w:r>
        <w:rPr/>
        <w:t xml:space="preserve"/>
      </w:r>
    </w:p>
    <w:p>
      <w:pPr>
        <w:jc w:val="both"/>
      </w:pPr>
      <w:r>
        <w:rPr/>
        <w:t xml:space="preserve">此外，文章没有探讨DII与其他相关指标（如BMI、血压等）之间的关系，也没有考虑到可能存在的混杂因素。这可能导致对饮食与炎症之间关系的误解。</w:t>
      </w:r>
    </w:p>
    <w:p>
      <w:pPr>
        <w:jc w:val="both"/>
      </w:pPr>
      <w:r>
        <w:rPr/>
        <w:t xml:space="preserve"/>
      </w:r>
    </w:p>
    <w:p>
      <w:pPr>
        <w:jc w:val="both"/>
      </w:pPr>
      <w:r>
        <w:rPr/>
        <w:t xml:space="preserve">最后，文章没有提及任何潜在风险或限制条件。例如，DII只是通过将个体摄入量与全球参考值进行比较来评估饮食对炎症潜力的影响，但这种方法可能无法考虑到个体差异和环境因素的影响。</w:t>
      </w:r>
    </w:p>
    <w:p>
      <w:pPr>
        <w:jc w:val="both"/>
      </w:pPr>
      <w:r>
        <w:rPr/>
        <w:t xml:space="preserve"/>
      </w:r>
    </w:p>
    <w:p>
      <w:pPr>
        <w:jc w:val="both"/>
      </w:pPr>
      <w:r>
        <w:rPr/>
        <w:t xml:space="preserve">综上所述，尽管这篇文章介绍了DII的设计和应用，但它存在一些潜在的偏见和问题。读者需要谨慎对待其中提出的主张，并进一步研究和评估DII在实际应用中的可靠性和有效性。</w:t>
      </w:r>
    </w:p>
    <w:p>
      <w:pPr>
        <w:pStyle w:val="Heading1"/>
      </w:pPr>
      <w:bookmarkStart w:id="5" w:name="_Toc5"/>
      <w:r>
        <w:t>Topics for further research:</w:t>
      </w:r>
      <w:bookmarkEnd w:id="5"/>
    </w:p>
    <w:p>
      <w:pPr>
        <w:spacing w:after="0"/>
        <w:numPr>
          <w:ilvl w:val="0"/>
          <w:numId w:val="2"/>
        </w:numPr>
      </w:pPr>
      <w:r>
        <w:rPr/>
        <w:t xml:space="preserve">Systematic review and meta-analysis of selected literature
</w:t>
      </w:r>
    </w:p>
    <w:p>
      <w:pPr>
        <w:spacing w:after="0"/>
        <w:numPr>
          <w:ilvl w:val="0"/>
          <w:numId w:val="2"/>
        </w:numPr>
      </w:pPr>
      <w:r>
        <w:rPr/>
        <w:t xml:space="preserve">Quality assessment of selected literature
</w:t>
      </w:r>
    </w:p>
    <w:p>
      <w:pPr>
        <w:spacing w:after="0"/>
        <w:numPr>
          <w:ilvl w:val="0"/>
          <w:numId w:val="2"/>
        </w:numPr>
      </w:pPr>
      <w:r>
        <w:rPr/>
        <w:t xml:space="preserve">Determining the impact of food parameters on inflammation biomarkers
</w:t>
      </w:r>
    </w:p>
    <w:p>
      <w:pPr>
        <w:spacing w:after="0"/>
        <w:numPr>
          <w:ilvl w:val="0"/>
          <w:numId w:val="2"/>
        </w:numPr>
      </w:pPr>
      <w:r>
        <w:rPr/>
        <w:t xml:space="preserve">Relationship between DII and other relevant indicators (e.g.</w:t>
      </w:r>
    </w:p>
    <w:p>
      <w:pPr>
        <w:spacing w:after="0"/>
        <w:numPr>
          <w:ilvl w:val="0"/>
          <w:numId w:val="2"/>
        </w:numPr>
      </w:pPr>
      <w:r>
        <w:rPr/>
        <w:t xml:space="preserve">BMI</w:t>
      </w:r>
    </w:p>
    <w:p>
      <w:pPr>
        <w:spacing w:after="0"/>
        <w:numPr>
          <w:ilvl w:val="0"/>
          <w:numId w:val="2"/>
        </w:numPr>
      </w:pPr>
      <w:r>
        <w:rPr/>
        <w:t xml:space="preserve">blood pressure)
</w:t>
      </w:r>
    </w:p>
    <w:p>
      <w:pPr>
        <w:spacing w:after="0"/>
        <w:numPr>
          <w:ilvl w:val="0"/>
          <w:numId w:val="2"/>
        </w:numPr>
      </w:pPr>
      <w:r>
        <w:rPr/>
        <w:t xml:space="preserve">Potential confounding factors
</w:t>
      </w:r>
    </w:p>
    <w:p>
      <w:pPr>
        <w:numPr>
          <w:ilvl w:val="0"/>
          <w:numId w:val="2"/>
        </w:numPr>
      </w:pPr>
      <w:r>
        <w:rPr/>
        <w:t xml:space="preserve">Potential risks and limitations of DII assessment method</w:t>
      </w:r>
    </w:p>
    <w:p>
      <w:pPr>
        <w:pStyle w:val="Heading1"/>
      </w:pPr>
      <w:bookmarkStart w:id="6" w:name="_Toc6"/>
      <w:r>
        <w:t>Report location:</w:t>
      </w:r>
      <w:bookmarkEnd w:id="6"/>
    </w:p>
    <w:p>
      <w:hyperlink r:id="rId8" w:history="1">
        <w:r>
          <w:rPr>
            <w:color w:val="2980b9"/>
            <w:u w:val="single"/>
          </w:rPr>
          <w:t xml:space="preserve">https://www.fullpicture.app/item/d9c63716a75390ad05462b9f316bb895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A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25198/" TargetMode="External"/><Relationship Id="rId8" Type="http://schemas.openxmlformats.org/officeDocument/2006/relationships/hyperlink" Target="https://www.fullpicture.app/item/d9c63716a75390ad05462b9f316bb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2024-01-21T04:09:10+01:00</dcterms:created>
  <dcterms:modified xsi:type="dcterms:W3CDTF">2024-01-21T04:09:10+01:00</dcterms:modified>
</cp:coreProperties>
</file>

<file path=docProps/custom.xml><?xml version="1.0" encoding="utf-8"?>
<Properties xmlns="http://schemas.openxmlformats.org/officeDocument/2006/custom-properties" xmlns:vt="http://schemas.openxmlformats.org/officeDocument/2006/docPropsVTypes"/>
</file>