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ESG and Covid-19 Responses Share a Common Blueprint</w:t>
      </w:r>
      <w:br/>
      <w:hyperlink r:id="rId7" w:history="1">
        <w:r>
          <w:rPr>
            <w:color w:val="2980b9"/>
            <w:u w:val="single"/>
          </w:rPr>
          <w:t xml:space="preserve">https://news.bloomberglaw.com/bloomberg-law-analysis/analysis-esg-and-covid-19-responses-share-a-common-blueprint</w:t>
        </w:r>
      </w:hyperlink>
    </w:p>
    <w:p>
      <w:pPr>
        <w:pStyle w:val="Heading1"/>
      </w:pPr>
      <w:bookmarkStart w:id="2" w:name="_Toc2"/>
      <w:r>
        <w:t>Article summary:</w:t>
      </w:r>
      <w:bookmarkEnd w:id="2"/>
    </w:p>
    <w:p>
      <w:pPr>
        <w:jc w:val="both"/>
      </w:pPr>
      <w:r>
        <w:rPr/>
        <w:t xml:space="preserve">1. Covid-19 responses and ESG strategies share similarities in risk management: Companies that have built climate change risk preparedness into their corporate strategies will likely be better prepared for ongoing effects of the pandemic. The pandemic has forced many companies to rethink their long-term risk management strategy, considering not just ESG and climate risks, but also pandemic and recession risks.</w:t>
      </w:r>
    </w:p>
    <w:p>
      <w:pPr>
        <w:jc w:val="both"/>
      </w:pPr>
      <w:r>
        <w:rPr/>
        <w:t xml:space="preserve"/>
      </w:r>
    </w:p>
    <w:p>
      <w:pPr>
        <w:jc w:val="both"/>
      </w:pPr>
      <w:r>
        <w:rPr/>
        <w:t xml:space="preserve">2. Parallels between Covid-19 responses and ESG analyses: Both the risk of a pandemic and the risks posed by climate change are not easily predictable, but they are also not unforeseeable. Covid-19 and climate change impact the same ESG performance areas, such as workplace safety, data privacy, job security, community impact, business continuity, and effective governance.</w:t>
      </w:r>
    </w:p>
    <w:p>
      <w:pPr>
        <w:jc w:val="both"/>
      </w:pPr>
      <w:r>
        <w:rPr/>
        <w:t xml:space="preserve"/>
      </w:r>
    </w:p>
    <w:p>
      <w:pPr>
        <w:jc w:val="both"/>
      </w:pPr>
      <w:r>
        <w:rPr/>
        <w:t xml:space="preserve">3. Importance of ESG reporting practices: Companies that have historically incorporated ESG considerations into their strategic planning are likely those that are most readily prepared to analyze—and disclose to stakeholders—the risks now posed by a viral pandemic and recession. Investors and stakeholders were demanding increased assessment and disclosure of climate risks prior to the pandemic, which is likely to continue post-Covid-19. Companies may want to take advantage of the Task Force on Climate-Related Financial Disclosures’ (TCFD’s) recommendations when carrying out a climate-risk scenario analysis and reporting on how it will identify, assess, manage, and integrate climate-related risks into its overall risk management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该文章提出了一个有趣的观点，即企业应该将其对抗气候变化的策略与应对新冠病毒危机的策略相结合。然而，文章存在一些问题。</w:t>
      </w:r>
    </w:p>
    <w:p>
      <w:pPr>
        <w:jc w:val="both"/>
      </w:pPr>
      <w:r>
        <w:rPr/>
        <w:t xml:space="preserve"/>
      </w:r>
    </w:p>
    <w:p>
      <w:pPr>
        <w:jc w:val="both"/>
      </w:pPr>
      <w:r>
        <w:rPr/>
        <w:t xml:space="preserve">首先，文章没有提供足够的证据来支持其主张。虽然作者提到了世界银行和世界经济论坛在2019年发布的关于流行病风险的报告，但并没有详细说明这些报告如何与气候变化相关。此外，文章也没有提供任何数据或案例来证明那些已经将ESG考虑纳入战略规划中的公司更容易适应当前危机。</w:t>
      </w:r>
    </w:p>
    <w:p>
      <w:pPr>
        <w:jc w:val="both"/>
      </w:pPr>
      <w:r>
        <w:rPr/>
        <w:t xml:space="preserve"/>
      </w:r>
    </w:p>
    <w:p>
      <w:pPr>
        <w:jc w:val="both"/>
      </w:pPr>
      <w:r>
        <w:rPr/>
        <w:t xml:space="preserve">其次，文章忽视了一些重要的考虑因素。例如，在讨论企业如何适应新冠病毒危机时，作者没有涉及到社会公正和可持续性等方面。这些因素在ESG分析中非常重要，并且可能会影响企业在未来危机中的表现。</w:t>
      </w:r>
    </w:p>
    <w:p>
      <w:pPr>
        <w:jc w:val="both"/>
      </w:pPr>
      <w:r>
        <w:rPr/>
        <w:t xml:space="preserve"/>
      </w:r>
    </w:p>
    <w:p>
      <w:pPr>
        <w:jc w:val="both"/>
      </w:pPr>
      <w:r>
        <w:rPr/>
        <w:t xml:space="preserve">此外，文章似乎偏袒那些已经将ESG考虑纳入战略规划中的公司，并暗示它们比其他公司更具有竞争力。然而，在当前危机下，所有公司都面临着巨大挑战，并不是所有公司都能够轻松地适应这种情况。</w:t>
      </w:r>
    </w:p>
    <w:p>
      <w:pPr>
        <w:jc w:val="both"/>
      </w:pPr>
      <w:r>
        <w:rPr/>
        <w:t xml:space="preserve"/>
      </w:r>
    </w:p>
    <w:p>
      <w:pPr>
        <w:jc w:val="both"/>
      </w:pPr>
      <w:r>
        <w:rPr/>
        <w:t xml:space="preserve">最后，文章没有探讨可能存在的风险和反驳观点。例如，在讨论ESG披露时，作者没有提到一些人认为过度强调ESG可能会导致投资者忽视其他重要因素。</w:t>
      </w:r>
    </w:p>
    <w:p>
      <w:pPr>
        <w:jc w:val="both"/>
      </w:pPr>
      <w:r>
        <w:rPr/>
        <w:t xml:space="preserve"/>
      </w:r>
    </w:p>
    <w:p>
      <w:pPr>
        <w:jc w:val="both"/>
      </w:pPr>
      <w:r>
        <w:rPr/>
        <w:t xml:space="preserve">总之，尽管该文章提出了一个有趣的观点，并探讨了ESG和新冠病毒危机之间的联系，但它缺乏充分证据和全面考虑，并存在潜在偏见和片面报道。</w:t>
      </w:r>
    </w:p>
    <w:p>
      <w:pPr>
        <w:pStyle w:val="Heading1"/>
      </w:pPr>
      <w:bookmarkStart w:id="5" w:name="_Toc5"/>
      <w:r>
        <w:t>Topics for further research:</w:t>
      </w:r>
      <w:bookmarkEnd w:id="5"/>
    </w:p>
    <w:p>
      <w:pPr>
        <w:spacing w:after="0"/>
        <w:numPr>
          <w:ilvl w:val="0"/>
          <w:numId w:val="2"/>
        </w:numPr>
      </w:pPr>
      <w:r>
        <w:rPr/>
        <w:t xml:space="preserve">Lack of evidence to support the claim
</w:t>
      </w:r>
    </w:p>
    <w:p>
      <w:pPr>
        <w:spacing w:after="0"/>
        <w:numPr>
          <w:ilvl w:val="0"/>
          <w:numId w:val="2"/>
        </w:numPr>
      </w:pPr>
      <w:r>
        <w:rPr/>
        <w:t xml:space="preserve">Ignoring important considerations such as social justice and sustainability
</w:t>
      </w:r>
    </w:p>
    <w:p>
      <w:pPr>
        <w:spacing w:after="0"/>
        <w:numPr>
          <w:ilvl w:val="0"/>
          <w:numId w:val="2"/>
        </w:numPr>
      </w:pPr>
      <w:r>
        <w:rPr/>
        <w:t xml:space="preserve">Biased towards companies that have already incorporated ESG into their strategies
</w:t>
      </w:r>
    </w:p>
    <w:p>
      <w:pPr>
        <w:spacing w:after="0"/>
        <w:numPr>
          <w:ilvl w:val="0"/>
          <w:numId w:val="2"/>
        </w:numPr>
      </w:pPr>
      <w:r>
        <w:rPr/>
        <w:t xml:space="preserve">Failure to explore potential risks and counterarguments
</w:t>
      </w:r>
    </w:p>
    <w:p>
      <w:pPr>
        <w:spacing w:after="0"/>
        <w:numPr>
          <w:ilvl w:val="0"/>
          <w:numId w:val="2"/>
        </w:numPr>
      </w:pPr>
      <w:r>
        <w:rPr/>
        <w:t xml:space="preserve">Incomplete and one-sided reporting
</w:t>
      </w:r>
    </w:p>
    <w:p>
      <w:pPr>
        <w:numPr>
          <w:ilvl w:val="0"/>
          <w:numId w:val="2"/>
        </w:numPr>
      </w:pPr>
      <w:r>
        <w:rPr/>
        <w:t xml:space="preserve">Need for more comprehensive and evidence-based analysis</w:t>
      </w:r>
    </w:p>
    <w:p>
      <w:pPr>
        <w:pStyle w:val="Heading1"/>
      </w:pPr>
      <w:bookmarkStart w:id="6" w:name="_Toc6"/>
      <w:r>
        <w:t>Report location:</w:t>
      </w:r>
      <w:bookmarkEnd w:id="6"/>
    </w:p>
    <w:p>
      <w:hyperlink r:id="rId8" w:history="1">
        <w:r>
          <w:rPr>
            <w:color w:val="2980b9"/>
            <w:u w:val="single"/>
          </w:rPr>
          <w:t xml:space="preserve">https://www.fullpicture.app/item/db3e3b3f5b1e62d79a23f1d5e6005937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54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loomberglaw.com/bloomberg-law-analysis/analysis-esg-and-covid-19-responses-share-a-common-blueprint" TargetMode="External"/><Relationship Id="rId8" Type="http://schemas.openxmlformats.org/officeDocument/2006/relationships/hyperlink" Target="https://www.fullpicture.app/item/db3e3b3f5b1e62d79a23f1d5e6005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2024-01-14T18:55:36+01:00</dcterms:created>
  <dcterms:modified xsi:type="dcterms:W3CDTF">2024-01-14T18:55:36+01:00</dcterms:modified>
</cp:coreProperties>
</file>

<file path=docProps/custom.xml><?xml version="1.0" encoding="utf-8"?>
<Properties xmlns="http://schemas.openxmlformats.org/officeDocument/2006/custom-properties" xmlns:vt="http://schemas.openxmlformats.org/officeDocument/2006/docPropsVTypes"/>
</file>