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Noticias | FAICIC</w:t>
      </w:r>
      <w:br/>
      <w:hyperlink r:id="rId7" w:history="1">
        <w:r>
          <w:rPr>
            <w:color w:val="2980b9"/>
            <w:u w:val="single"/>
          </w:rPr>
          <w:t xml:space="preserve">https://faicic.com.mx/noticia.php?id=117</w:t>
        </w:r>
      </w:hyperlink>
    </w:p>
    <w:p>
      <w:pPr>
        <w:pStyle w:val="Heading1"/>
      </w:pPr>
      <w:bookmarkStart w:id="2" w:name="_Toc2"/>
      <w:r>
        <w:t>Article summary:</w:t>
      </w:r>
      <w:bookmarkEnd w:id="2"/>
    </w:p>
    <w:p>
      <w:pPr>
        <w:jc w:val="both"/>
      </w:pPr>
      <w:r>
        <w:rPr/>
        <w:t xml:space="preserve">1. El Día Internacional de la Eliminación de la Violencia contra la Mujer y los 16 Días de Activismo contra la Violencia de Género son un momento para reflexionar sobre los compromisos para eliminar la violencia contra las mujeres.</w:t>
      </w:r>
    </w:p>
    <w:p>
      <w:pPr>
        <w:jc w:val="both"/>
      </w:pPr>
      <w:r>
        <w:rPr/>
        <w:t xml:space="preserve">2. La OMS desempeña un papel fundamental a la hora de llamar la atención sobre esta violencia, entendida como una cuestión de salud pública, igualdad de género y derechos humanos.</w:t>
      </w:r>
    </w:p>
    <w:p>
      <w:pPr>
        <w:jc w:val="both"/>
      </w:pPr>
      <w:r>
        <w:rPr/>
        <w:t xml:space="preserve">3. Existen diez formas en las que cada persona puede actuar ahora para poner fin a la violencia contra las mujeres y las niñas: hablar, conocer el problema y sus señales, denunciar el acoso sexual, desafiar creencias sobre masculinidad tóxica, financiar organizaciones de mujeres, pedir respuestas y servicios más eficaces, exigir leyes más estrictas, impulsar el liderazgo femenino, recopilar datos sensibles al género y construir solidaridad con otros movimientos sociales.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artículo es un buen recurso para aquellos que buscan información sobre cómo combatir eficazmente la violencia de género. El artículo ofrece información clara y concisa sobre el tema y proporciona diez formas prácticas en las que cada persona puede contribuir a poner fin a la violencia contra las mujeres.</w:t>
      </w:r>
    </w:p>
    <w:p>
      <w:pPr>
        <w:jc w:val="both"/>
      </w:pPr>
      <w:r>
        <w:rPr/>
        <w:t xml:space="preserve">El artículo es confiable ya que se basa en fuentes fiables como el sitio web oficial del Fondo de Población de Naciones Unidas (UNFPA) y sugiere varias formas prácticas en las que los lectores pueden involucrarse directamente en el combate a esta violencia. Además, el artículo presenta ambos lados del debate sin mostrar parcialidad hacia ninguna postura particular.</w:t>
      </w:r>
    </w:p>
    <w:p>
      <w:pPr>
        <w:jc w:val="both"/>
      </w:pPr>
      <w:r>
        <w:rPr/>
        <w:t xml:space="preserve">Sin embargo, hay algunos puntos débiles en este artículo. Por ejemplo, no hay evidencia para respaldar algunas afirmaciones hechas por el autor o no se abordan todos los posibles riesgos asociados con algunas acciones propuestas por él. Además, hay algunos puntos importantes que faltan por considerarse como soluciones alternativas o medidas preventivas adicionales para combatir esta violencia.</w:t>
      </w:r>
    </w:p>
    <w:p>
      <w:pPr>
        <w:jc w:val="both"/>
      </w:pPr>
      <w:r>
        <w:rPr/>
        <w:t xml:space="preserve">En general, este artículo es un buen recurso para aquellos interesados ​​en aprender más acerca del tema o involucrarse directamente en su lucha contra él. Sin embargo, debido a los puntos débiles mencionados anteriormente, se recomienda encarecidamente consultar fuentes adicionales antes de tomar decisiones basadas únicamente en lo que se presenta aquí.</w:t>
      </w:r>
    </w:p>
    <w:p>
      <w:pPr>
        <w:pStyle w:val="Heading1"/>
      </w:pPr>
      <w:bookmarkStart w:id="5" w:name="_Toc5"/>
      <w:r>
        <w:t>Topics for further research:</w:t>
      </w:r>
      <w:bookmarkEnd w:id="5"/>
    </w:p>
    <w:p>
      <w:pPr>
        <w:spacing w:after="0"/>
        <w:numPr>
          <w:ilvl w:val="0"/>
          <w:numId w:val="2"/>
        </w:numPr>
      </w:pPr>
      <w:r>
        <w:rPr/>
        <w:t xml:space="preserve">Soluciones alternativas para combatir la violencia de género</w:t>
      </w:r>
    </w:p>
    <w:p>
      <w:pPr>
        <w:spacing w:after="0"/>
        <w:numPr>
          <w:ilvl w:val="0"/>
          <w:numId w:val="2"/>
        </w:numPr>
      </w:pPr>
      <w:r>
        <w:rPr/>
        <w:t xml:space="preserve">Medidas preventivas para prevenir la violencia de género</w:t>
      </w:r>
    </w:p>
    <w:p>
      <w:pPr>
        <w:spacing w:after="0"/>
        <w:numPr>
          <w:ilvl w:val="0"/>
          <w:numId w:val="2"/>
        </w:numPr>
      </w:pPr>
      <w:r>
        <w:rPr/>
        <w:t xml:space="preserve">Riesgos asociados con la lucha contra la violencia de género</w:t>
      </w:r>
    </w:p>
    <w:p>
      <w:pPr>
        <w:spacing w:after="0"/>
        <w:numPr>
          <w:ilvl w:val="0"/>
          <w:numId w:val="2"/>
        </w:numPr>
      </w:pPr>
      <w:r>
        <w:rPr/>
        <w:t xml:space="preserve">Estudios de caso sobre la violencia de género</w:t>
      </w:r>
    </w:p>
    <w:p>
      <w:pPr>
        <w:spacing w:after="0"/>
        <w:numPr>
          <w:ilvl w:val="0"/>
          <w:numId w:val="2"/>
        </w:numPr>
      </w:pPr>
      <w:r>
        <w:rPr/>
        <w:t xml:space="preserve">Estrategias de sensibilización sobre la violencia de género</w:t>
      </w:r>
    </w:p>
    <w:p>
      <w:pPr>
        <w:numPr>
          <w:ilvl w:val="0"/>
          <w:numId w:val="2"/>
        </w:numPr>
      </w:pPr>
      <w:r>
        <w:rPr/>
        <w:t xml:space="preserve">Recursos para víctimas de violencia de género</w:t>
      </w:r>
    </w:p>
    <w:p>
      <w:pPr>
        <w:pStyle w:val="Heading1"/>
      </w:pPr>
      <w:bookmarkStart w:id="6" w:name="_Toc6"/>
      <w:r>
        <w:t>Report location:</w:t>
      </w:r>
      <w:bookmarkEnd w:id="6"/>
    </w:p>
    <w:p>
      <w:hyperlink r:id="rId8" w:history="1">
        <w:r>
          <w:rPr>
            <w:color w:val="2980b9"/>
            <w:u w:val="single"/>
          </w:rPr>
          <w:t xml:space="preserve">https://www.fullpicture.app/item/dbc43741235f1beaa9cb0bc9fe357b11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4DD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icic.com.mx/noticia.php?id=117" TargetMode="External"/><Relationship Id="rId8" Type="http://schemas.openxmlformats.org/officeDocument/2006/relationships/hyperlink" Target="https://www.fullpicture.app/item/dbc43741235f1beaa9cb0bc9fe357b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2023-03-02T07:35:58+01:00</dcterms:created>
  <dcterms:modified xsi:type="dcterms:W3CDTF">2023-03-02T07:35:58+01:00</dcterms:modified>
</cp:coreProperties>
</file>

<file path=docProps/custom.xml><?xml version="1.0" encoding="utf-8"?>
<Properties xmlns="http://schemas.openxmlformats.org/officeDocument/2006/custom-properties" xmlns:vt="http://schemas.openxmlformats.org/officeDocument/2006/docPropsVTypes"/>
</file>