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Analysis into the Doctrine of Indoor Management</w:t>
      </w:r>
      <w:br/>
      <w:hyperlink r:id="rId7" w:history="1">
        <w:r>
          <w:rPr>
            <w:color w:val="2980b9"/>
            <w:u w:val="single"/>
          </w:rPr>
          <w:t xml:space="preserve">https://blog.ipleaders.in/doctrine-indoor-management-2/</w:t>
        </w:r>
      </w:hyperlink>
    </w:p>
    <w:p>
      <w:pPr>
        <w:pStyle w:val="Heading1"/>
      </w:pPr>
      <w:bookmarkStart w:id="2" w:name="_Toc2"/>
      <w:r>
        <w:t>Article summary:</w:t>
      </w:r>
      <w:bookmarkEnd w:id="2"/>
    </w:p>
    <w:p>
      <w:pPr>
        <w:jc w:val="both"/>
      </w:pPr>
      <w:r>
        <w:rPr/>
        <w:t xml:space="preserve">1. The Doctrine of Indoor Management, also known as the Turquand's Rule, is an old established principle which seeks to protect outsiders from the company.</w:t>
      </w:r>
    </w:p>
    <w:p>
      <w:pPr>
        <w:jc w:val="both"/>
      </w:pPr>
      <w:r>
        <w:rPr/>
        <w:t xml:space="preserve">2. The Indian Companies Act, 1956 provides protection to outsiders under Section 290.</w:t>
      </w:r>
    </w:p>
    <w:p>
      <w:pPr>
        <w:jc w:val="both"/>
      </w:pPr>
      <w:r>
        <w:rPr/>
        <w:t xml:space="preserve">3. Exceptions to the Doctrine of Indoor Management include knowledge of irregularity, forgery, negligence, acts beyond the scope of apparent authority and representation through Articles.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Doctrine of Indoor Management and its application in India. It is well-structured and clearly explains the origin and purpose of this doctrine as well as its exceptions. The article also includes relevant case studies to illustrate how this doctrine has been applied in practice.</w:t>
      </w:r>
    </w:p>
    <w:p>
      <w:pPr>
        <w:jc w:val="both"/>
      </w:pPr>
      <w:r>
        <w:rPr/>
        <w:t xml:space="preserve">However, there are some potential biases that should be noted when considering the trustworthiness and reliability of this article. Firstly, it does not present both sides equally; while it does provide a detailed explanation of how this doctrine can be used to protect outsiders from companies, it does not explore any potential risks or drawbacks associated with its use. Secondly, some claims made in the article are unsupported; for example, when discussing how this doctrine promotes investments in business sectors, no evidence is provided to back up this claim. Finally, there is some promotional content included in the article; for example, when discussing judicial interpretation of this doctrine, it mentions that Justice Bray “had rightly pointed out” certain facts without providing any evidence or further explanation for why these facts were “rightly” pointed out.</w:t>
      </w:r>
    </w:p>
    <w:p>
      <w:pPr>
        <w:jc w:val="both"/>
      </w:pPr>
      <w:r>
        <w:rPr/>
        <w:t xml:space="preserve">In conclusion, while this article provides a comprehensive overview of the Doctrine of Indoor Management and its application in India,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the Doctrine of Indoor Management</w:t>
      </w:r>
    </w:p>
    <w:p>
      <w:pPr>
        <w:spacing w:after="0"/>
        <w:numPr>
          <w:ilvl w:val="0"/>
          <w:numId w:val="2"/>
        </w:numPr>
      </w:pPr>
      <w:r>
        <w:rPr/>
        <w:t xml:space="preserve">Judicial interpretation of the Doctrine of Indoor Management</w:t>
      </w:r>
    </w:p>
    <w:p>
      <w:pPr>
        <w:spacing w:after="0"/>
        <w:numPr>
          <w:ilvl w:val="0"/>
          <w:numId w:val="2"/>
        </w:numPr>
      </w:pPr>
      <w:r>
        <w:rPr/>
        <w:t xml:space="preserve">Impact of the Doctrine of Indoor Management on investments</w:t>
      </w:r>
    </w:p>
    <w:p>
      <w:pPr>
        <w:spacing w:after="0"/>
        <w:numPr>
          <w:ilvl w:val="0"/>
          <w:numId w:val="2"/>
        </w:numPr>
      </w:pPr>
      <w:r>
        <w:rPr/>
        <w:t xml:space="preserve">Criticisms of the Doctrine of Indoor Management</w:t>
      </w:r>
    </w:p>
    <w:p>
      <w:pPr>
        <w:spacing w:after="0"/>
        <w:numPr>
          <w:ilvl w:val="0"/>
          <w:numId w:val="2"/>
        </w:numPr>
      </w:pPr>
      <w:r>
        <w:rPr/>
        <w:t xml:space="preserve">Examples of successful application of the Doctrine of Indoor Management</w:t>
      </w:r>
    </w:p>
    <w:p>
      <w:pPr>
        <w:numPr>
          <w:ilvl w:val="0"/>
          <w:numId w:val="2"/>
        </w:numPr>
      </w:pPr>
      <w:r>
        <w:rPr/>
        <w:t xml:space="preserve">Comparative analysis of the Doctrine of Indoor Management in different countries</w:t>
      </w:r>
    </w:p>
    <w:p>
      <w:pPr>
        <w:pStyle w:val="Heading1"/>
      </w:pPr>
      <w:bookmarkStart w:id="6" w:name="_Toc6"/>
      <w:r>
        <w:t>Report location:</w:t>
      </w:r>
      <w:bookmarkEnd w:id="6"/>
    </w:p>
    <w:p>
      <w:hyperlink r:id="rId8" w:history="1">
        <w:r>
          <w:rPr>
            <w:color w:val="2980b9"/>
            <w:u w:val="single"/>
          </w:rPr>
          <w:t xml:space="preserve">https://www.fullpicture.app/item/dc08d4fe34459e1a6dd126611ed22962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38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ipleaders.in/doctrine-indoor-management-2/" TargetMode="External"/><Relationship Id="rId8" Type="http://schemas.openxmlformats.org/officeDocument/2006/relationships/hyperlink" Target="https://www.fullpicture.app/item/dc08d4fe34459e1a6dd126611ed22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2023-02-23T20:30:04+01:00</dcterms:created>
  <dcterms:modified xsi:type="dcterms:W3CDTF">2023-02-23T20:30:04+01:00</dcterms:modified>
</cp:coreProperties>
</file>

<file path=docProps/custom.xml><?xml version="1.0" encoding="utf-8"?>
<Properties xmlns="http://schemas.openxmlformats.org/officeDocument/2006/custom-properties" xmlns:vt="http://schemas.openxmlformats.org/officeDocument/2006/docPropsVTypes"/>
</file>