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ERIC - ED544487 - The Circuit of Culture as a Generative Tool of Contemporary Analysis: Examining the Construction of an Education Commodity, Australian Association for Research in Education (NJ1), 2012-Dec</w:t>
      </w:r>
      <w:br/>
      <w:hyperlink r:id="rId7" w:history="1">
        <w:r>
          <w:rPr>
            <w:color w:val="2980b9"/>
            <w:u w:val="single"/>
          </w:rPr>
          <w:t xml:space="preserve">https://eric.ed.gov/?id=ED544487</w:t>
        </w:r>
      </w:hyperlink>
    </w:p>
    <w:p>
      <w:pPr>
        <w:pStyle w:val="Heading1"/>
      </w:pPr>
      <w:bookmarkStart w:id="2" w:name="_Toc2"/>
      <w:r>
        <w:t>Article summary:</w:t>
      </w:r>
      <w:bookmarkEnd w:id="2"/>
    </w:p>
    <w:p>
      <w:pPr>
        <w:jc w:val="both"/>
      </w:pPr>
      <w:r>
        <w:rPr/>
        <w:t xml:space="preserve">1. 当代教育研究需要关注权力、政治、经济和消费、表征和身份之间的相互关系。</w:t>
      </w:r>
    </w:p>
    <w:p>
      <w:pPr>
        <w:jc w:val="both"/>
      </w:pPr>
      <w:r>
        <w:rPr/>
        <w:t xml:space="preserve">2. “文化电路”是一种文化分析工具，强调生产、表征、消费、规制和身份等方面的相互关联。</w:t>
      </w:r>
    </w:p>
    <w:p>
      <w:pPr>
        <w:jc w:val="both"/>
      </w:pPr>
      <w:r>
        <w:rPr/>
        <w:t xml:space="preserve">3. 该研究使用“文化电路”来探索澳大利亚政府学校国际学生项目商品化的多重相关过程。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Circuit of Culture as a Generative Tool of Contemporary Analysis: Examining the Construction of an Education Commodity" by Annabelle M. Leve presents an interesting application of the Circuit of Culture as a tool for cultural analysis in the field of education. However, there are some potential biases and limitations in the article that need to be addressed.</w:t>
      </w:r>
    </w:p>
    <w:p>
      <w:pPr>
        <w:jc w:val="both"/>
      </w:pPr>
      <w:r>
        <w:rPr/>
        <w:t xml:space="preserve"/>
      </w:r>
    </w:p>
    <w:p>
      <w:pPr>
        <w:jc w:val="both"/>
      </w:pPr>
      <w:r>
        <w:rPr/>
        <w:t xml:space="preserve">Firstly, the article focuses solely on the commodification of international student programs in Australian government schools, which limits its generalizability to other contexts. The author does not provide any evidence or justification for why this particular phenomenon is significant or representative of broader trends in education.</w:t>
      </w:r>
    </w:p>
    <w:p>
      <w:pPr>
        <w:jc w:val="both"/>
      </w:pPr>
      <w:r>
        <w:rPr/>
        <w:t xml:space="preserve"/>
      </w:r>
    </w:p>
    <w:p>
      <w:pPr>
        <w:jc w:val="both"/>
      </w:pPr>
      <w:r>
        <w:rPr/>
        <w:t xml:space="preserve">Secondly, while the Circuit of Culture is presented as a useful and flexible tool for exploring interrelated processes involved in the construction and management of an education commodity, there is no discussion or acknowledgement of its limitations or potential biases. For example, the emphasis on production, representation, consumption, regulation and identity may overlook other important factors such as historical context, power dynamics and social structures.</w:t>
      </w:r>
    </w:p>
    <w:p>
      <w:pPr>
        <w:jc w:val="both"/>
      </w:pPr>
      <w:r>
        <w:rPr/>
        <w:t xml:space="preserve"/>
      </w:r>
    </w:p>
    <w:p>
      <w:pPr>
        <w:jc w:val="both"/>
      </w:pPr>
      <w:r>
        <w:rPr/>
        <w:t xml:space="preserve">Thirdly, the author's argument that contemporary studies in education cannot neglect interrelationships between power and politics, economics and consumption, representation and identity seems to be based on assumptions rather than empirical evidence. There is no clear explanation or justification for why these factors are considered essential for understanding educational phenomena.</w:t>
      </w:r>
    </w:p>
    <w:p>
      <w:pPr>
        <w:jc w:val="both"/>
      </w:pPr>
      <w:r>
        <w:rPr/>
        <w:t xml:space="preserve"/>
      </w:r>
    </w:p>
    <w:p>
      <w:pPr>
        <w:jc w:val="both"/>
      </w:pPr>
      <w:r>
        <w:rPr/>
        <w:t xml:space="preserve">Fourthly, there is a lack of consideration for potential risks associated with commodification in education. While the author acknowledges that commodification can lead to issues such as marketization and standardization, there is no exploration of how these issues might impact students' learning experiences or educational outcomes.</w:t>
      </w:r>
    </w:p>
    <w:p>
      <w:pPr>
        <w:jc w:val="both"/>
      </w:pPr>
      <w:r>
        <w:rPr/>
        <w:t xml:space="preserve"/>
      </w:r>
    </w:p>
    <w:p>
      <w:pPr>
        <w:jc w:val="both"/>
      </w:pPr>
      <w:r>
        <w:rPr/>
        <w:t xml:space="preserve">Overall, while the article provides an interesting application of the Circuit of Culture as a tool for cultural analysis in education, it would benefit from more critical reflection on its limitations and potential biases. Additionally, more attention could be given to exploring potential risks associated with commodification in education.</w:t>
      </w:r>
    </w:p>
    <w:p>
      <w:pPr>
        <w:pStyle w:val="Heading1"/>
      </w:pPr>
      <w:bookmarkStart w:id="5" w:name="_Toc5"/>
      <w:r>
        <w:t>Topics for further research:</w:t>
      </w:r>
      <w:bookmarkEnd w:id="5"/>
    </w:p>
    <w:p>
      <w:pPr>
        <w:spacing w:after="0"/>
        <w:numPr>
          <w:ilvl w:val="0"/>
          <w:numId w:val="2"/>
        </w:numPr>
      </w:pPr>
      <w:r>
        <w:rPr/>
        <w:t xml:space="preserve">Educational commodification in other contexts
</w:t>
      </w:r>
    </w:p>
    <w:p>
      <w:pPr>
        <w:spacing w:after="0"/>
        <w:numPr>
          <w:ilvl w:val="0"/>
          <w:numId w:val="2"/>
        </w:numPr>
      </w:pPr>
      <w:r>
        <w:rPr/>
        <w:t xml:space="preserve">Limitations and biases of the Circuit of Culture
</w:t>
      </w:r>
    </w:p>
    <w:p>
      <w:pPr>
        <w:spacing w:after="0"/>
        <w:numPr>
          <w:ilvl w:val="0"/>
          <w:numId w:val="2"/>
        </w:numPr>
      </w:pPr>
      <w:r>
        <w:rPr/>
        <w:t xml:space="preserve">Empirical evidence for interrelationships between power</w:t>
      </w:r>
    </w:p>
    <w:p>
      <w:pPr>
        <w:spacing w:after="0"/>
        <w:numPr>
          <w:ilvl w:val="0"/>
          <w:numId w:val="2"/>
        </w:numPr>
      </w:pPr>
      <w:r>
        <w:rPr/>
        <w:t xml:space="preserve">politics</w:t>
      </w:r>
    </w:p>
    <w:p>
      <w:pPr>
        <w:spacing w:after="0"/>
        <w:numPr>
          <w:ilvl w:val="0"/>
          <w:numId w:val="2"/>
        </w:numPr>
      </w:pPr>
      <w:r>
        <w:rPr/>
        <w:t xml:space="preserve">economics</w:t>
      </w:r>
    </w:p>
    <w:p>
      <w:pPr>
        <w:spacing w:after="0"/>
        <w:numPr>
          <w:ilvl w:val="0"/>
          <w:numId w:val="2"/>
        </w:numPr>
      </w:pPr>
      <w:r>
        <w:rPr/>
        <w:t xml:space="preserve">consumption</w:t>
      </w:r>
    </w:p>
    <w:p>
      <w:pPr>
        <w:spacing w:after="0"/>
        <w:numPr>
          <w:ilvl w:val="0"/>
          <w:numId w:val="2"/>
        </w:numPr>
      </w:pPr>
      <w:r>
        <w:rPr/>
        <w:t xml:space="preserve">representation</w:t>
      </w:r>
    </w:p>
    <w:p>
      <w:pPr>
        <w:spacing w:after="0"/>
        <w:numPr>
          <w:ilvl w:val="0"/>
          <w:numId w:val="2"/>
        </w:numPr>
      </w:pPr>
      <w:r>
        <w:rPr/>
        <w:t xml:space="preserve">and identity in education
</w:t>
      </w:r>
    </w:p>
    <w:p>
      <w:pPr>
        <w:spacing w:after="0"/>
        <w:numPr>
          <w:ilvl w:val="0"/>
          <w:numId w:val="2"/>
        </w:numPr>
      </w:pPr>
      <w:r>
        <w:rPr/>
        <w:t xml:space="preserve">Risks associated with commodification in education
</w:t>
      </w:r>
    </w:p>
    <w:p>
      <w:pPr>
        <w:spacing w:after="0"/>
        <w:numPr>
          <w:ilvl w:val="0"/>
          <w:numId w:val="2"/>
        </w:numPr>
      </w:pPr>
      <w:r>
        <w:rPr/>
        <w:t xml:space="preserve">Impact of commodification on students' learning experiences and educational outcomes
</w:t>
      </w:r>
    </w:p>
    <w:p>
      <w:pPr>
        <w:numPr>
          <w:ilvl w:val="0"/>
          <w:numId w:val="2"/>
        </w:numPr>
      </w:pPr>
      <w:r>
        <w:rPr/>
        <w:t xml:space="preserve">Critical reflection on the application of the Circuit of Culture in education analysis</w:t>
      </w:r>
    </w:p>
    <w:p>
      <w:pPr>
        <w:pStyle w:val="Heading1"/>
      </w:pPr>
      <w:bookmarkStart w:id="6" w:name="_Toc6"/>
      <w:r>
        <w:t>Report location:</w:t>
      </w:r>
      <w:bookmarkEnd w:id="6"/>
    </w:p>
    <w:p>
      <w:hyperlink r:id="rId8" w:history="1">
        <w:r>
          <w:rPr>
            <w:color w:val="2980b9"/>
            <w:u w:val="single"/>
          </w:rPr>
          <w:t xml:space="preserve">https://www.fullpicture.app/item/dc7d2a1c01feaf49241515ff4e33ff73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3DA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ic.ed.gov/?id=ED544487" TargetMode="External"/><Relationship Id="rId8" Type="http://schemas.openxmlformats.org/officeDocument/2006/relationships/hyperlink" Target="https://www.fullpicture.app/item/dc7d2a1c01feaf49241515ff4e33ff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2023-05-14T14:58:14+02:00</dcterms:created>
  <dcterms:modified xsi:type="dcterms:W3CDTF">2023-05-14T14:58:14+02:00</dcterms:modified>
</cp:coreProperties>
</file>

<file path=docProps/custom.xml><?xml version="1.0" encoding="utf-8"?>
<Properties xmlns="http://schemas.openxmlformats.org/officeDocument/2006/custom-properties" xmlns:vt="http://schemas.openxmlformats.org/officeDocument/2006/docPropsVTypes"/>
</file>