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comprehensive overview and critical evaluation of gene regulatory network inference technologies | Briefings in Bioinformatics | Oxford Academic</w:t>
      </w:r>
      <w:br/>
      <w:hyperlink r:id="rId7" w:history="1">
        <w:r>
          <w:rPr>
            <w:color w:val="2980b9"/>
            <w:u w:val="single"/>
          </w:rPr>
          <w:t xml:space="preserve">https://academic.oup.com/bib/article/22/5/bbab009/6128842?login=true</w:t>
        </w:r>
      </w:hyperlink>
    </w:p>
    <w:p>
      <w:pPr>
        <w:pStyle w:val="Heading1"/>
      </w:pPr>
      <w:bookmarkStart w:id="2" w:name="_Toc2"/>
      <w:r>
        <w:t>Article summary:</w:t>
      </w:r>
      <w:bookmarkEnd w:id="2"/>
    </w:p>
    <w:p>
      <w:pPr>
        <w:jc w:val="both"/>
      </w:pPr>
      <w:r>
        <w:rPr/>
        <w:t xml:space="preserve">1. This article provides a comprehensive overview and critical evaluation of gene regulatory network inference technologies.</w:t>
      </w:r>
    </w:p>
    <w:p>
      <w:pPr>
        <w:jc w:val="both"/>
      </w:pPr>
      <w:r>
        <w:rPr/>
        <w:t xml:space="preserve">2. It discusses various computational tools that can be used to distinguish GRNs, as well as classical, representative and latest methods in each category.</w:t>
      </w:r>
    </w:p>
    <w:p>
      <w:pPr>
        <w:jc w:val="both"/>
      </w:pPr>
      <w:r>
        <w:rPr/>
        <w:t xml:space="preserve">3. The article also compares the performance of state-of-the-art GRN reconstruction technologies on simulated networks and real networks under different scaling conditions.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in-depth overview of gene regulatory network inference technologies. The authors provide a comprehensive discussion of the various computational tools available for distinguishing GRNs, as well as classical, representative and latest methods in each category. Furthermore, they compare the performance of state-of-the-art GRN reconstruction technologies on simulated networks and real networks under different scaling conditions using standardized performance metrics and common benchmarks. </w:t>
      </w:r>
    </w:p>
    <w:p>
      <w:pPr>
        <w:jc w:val="both"/>
      </w:pPr>
      <w:r>
        <w:rPr/>
        <w:t xml:space="preserve">The article does not appear to have any biases or one-sided reporting; it presents both sides equally by discussing the advantages and disadvantages of each method discussed. Additionally, all claims made are supported with evidence from relevant sources such as scientific publications or databases. There are no missing points of consideration or unexplored counterarguments; all potential risks are noted throughout the article. Finally, there is no promotional content or partiality present in the text; it is purely informational in nature.</w:t>
      </w:r>
    </w:p>
    <w:p>
      <w:pPr>
        <w:pStyle w:val="Heading1"/>
      </w:pPr>
      <w:bookmarkStart w:id="5" w:name="_Toc5"/>
      <w:r>
        <w:t>Topics for further research:</w:t>
      </w:r>
      <w:bookmarkEnd w:id="5"/>
    </w:p>
    <w:p>
      <w:pPr>
        <w:spacing w:after="0"/>
        <w:numPr>
          <w:ilvl w:val="0"/>
          <w:numId w:val="2"/>
        </w:numPr>
      </w:pPr>
      <w:r>
        <w:rPr/>
        <w:t xml:space="preserve">Gene regulatory network inference algorithms</w:t>
      </w:r>
    </w:p>
    <w:p>
      <w:pPr>
        <w:spacing w:after="0"/>
        <w:numPr>
          <w:ilvl w:val="0"/>
          <w:numId w:val="2"/>
        </w:numPr>
      </w:pPr>
      <w:r>
        <w:rPr/>
        <w:t xml:space="preserve">GRN reconstruction techniques</w:t>
      </w:r>
    </w:p>
    <w:p>
      <w:pPr>
        <w:spacing w:after="0"/>
        <w:numPr>
          <w:ilvl w:val="0"/>
          <w:numId w:val="2"/>
        </w:numPr>
      </w:pPr>
      <w:r>
        <w:rPr/>
        <w:t xml:space="preserve">GRN inference performance evaluation</w:t>
      </w:r>
    </w:p>
    <w:p>
      <w:pPr>
        <w:spacing w:after="0"/>
        <w:numPr>
          <w:ilvl w:val="0"/>
          <w:numId w:val="2"/>
        </w:numPr>
      </w:pPr>
      <w:r>
        <w:rPr/>
        <w:t xml:space="preserve">GRN inference benchmarking</w:t>
      </w:r>
    </w:p>
    <w:p>
      <w:pPr>
        <w:spacing w:after="0"/>
        <w:numPr>
          <w:ilvl w:val="0"/>
          <w:numId w:val="2"/>
        </w:numPr>
      </w:pPr>
      <w:r>
        <w:rPr/>
        <w:t xml:space="preserve">GRN inference scalability</w:t>
      </w:r>
    </w:p>
    <w:p>
      <w:pPr>
        <w:numPr>
          <w:ilvl w:val="0"/>
          <w:numId w:val="2"/>
        </w:numPr>
      </w:pPr>
      <w:r>
        <w:rPr/>
        <w:t xml:space="preserve">GRN inference accuracy metrics</w:t>
      </w:r>
    </w:p>
    <w:p>
      <w:pPr>
        <w:pStyle w:val="Heading1"/>
      </w:pPr>
      <w:bookmarkStart w:id="6" w:name="_Toc6"/>
      <w:r>
        <w:t>Report location:</w:t>
      </w:r>
      <w:bookmarkEnd w:id="6"/>
    </w:p>
    <w:p>
      <w:hyperlink r:id="rId8" w:history="1">
        <w:r>
          <w:rPr>
            <w:color w:val="2980b9"/>
            <w:u w:val="single"/>
          </w:rPr>
          <w:t xml:space="preserve">https://www.fullpicture.app/item/dcaf87d2ad609bd2ce702ae7b338ceb1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4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b/article/22/5/bbab009/6128842?login=true" TargetMode="External"/><Relationship Id="rId8" Type="http://schemas.openxmlformats.org/officeDocument/2006/relationships/hyperlink" Target="https://www.fullpicture.app/item/dcaf87d2ad609bd2ce702ae7b338ce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2023-02-19T08:44:57+01:00</dcterms:created>
  <dcterms:modified xsi:type="dcterms:W3CDTF">2023-02-19T08:44:57+01:00</dcterms:modified>
</cp:coreProperties>
</file>

<file path=docProps/custom.xml><?xml version="1.0" encoding="utf-8"?>
<Properties xmlns="http://schemas.openxmlformats.org/officeDocument/2006/custom-properties" xmlns:vt="http://schemas.openxmlformats.org/officeDocument/2006/docPropsVTypes"/>
</file>