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Pricing carbon risk: Investor preferences or risk mitigation? - ScienceDirect</w:t>
      </w:r>
      <w:br/>
      <w:hyperlink r:id="rId7" w:history="1">
        <w:r>
          <w:rPr>
            <w:color w:val="2980b9"/>
            <w:u w:val="single"/>
          </w:rPr>
          <w:t xml:space="preserve">https://www.sciencedirect.com/science/article/pii/S0165176521002135</w:t>
        </w:r>
      </w:hyperlink>
    </w:p>
    <w:p>
      <w:pPr>
        <w:pStyle w:val="Heading1"/>
      </w:pPr>
      <w:bookmarkStart w:id="2" w:name="_Toc2"/>
      <w:r>
        <w:t>Article summary:</w:t>
      </w:r>
      <w:bookmarkEnd w:id="2"/>
    </w:p>
    <w:p>
      <w:pPr>
        <w:jc w:val="both"/>
      </w:pPr>
      <w:r>
        <w:rPr/>
        <w:t xml:space="preserve">1. 公司的环境表现与其资本成本之间存在关系，高碳排放公司支付更高的贷款利差，这是由于环境风险溢价而非投资者偏好所致。</w:t>
      </w:r>
    </w:p>
    <w:p>
      <w:pPr>
        <w:jc w:val="both"/>
      </w:pPr>
      <w:r>
        <w:rPr/>
        <w:t xml:space="preserve">2. 研究使用了直接衡量企业环境表现的指标——碳排放量，并聚焦于银行贷款市场，以区分风险缓解和投资者偏好。</w:t>
      </w:r>
    </w:p>
    <w:p>
      <w:pPr>
        <w:jc w:val="both"/>
      </w:pPr>
      <w:r>
        <w:rPr/>
        <w:t xml:space="preserve">3. 研究结果支持金融市场在激励公司减少碳排放方面发挥着重要作用。数据来源主要为CDP和DealScan。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该文章主要探讨企业环境表现对公司资本成本的影响，特别是碳排放对银行贷款利率的影响。然而，该文章存在一些潜在偏见和局限性。</w:t>
      </w:r>
    </w:p>
    <w:p>
      <w:pPr>
        <w:jc w:val="both"/>
      </w:pPr>
      <w:r>
        <w:rPr/>
        <w:t xml:space="preserve"/>
      </w:r>
    </w:p>
    <w:p>
      <w:pPr>
        <w:jc w:val="both"/>
      </w:pPr>
      <w:r>
        <w:rPr/>
        <w:t xml:space="preserve">首先，该文章没有考虑到环境表现与其他因素之间的复杂关系。例如，高碳排放可能与公司规模、行业类型、地理位置等因素相关联，这些因素也可能影响银行贷款利率。因此，作者需要更全面地考虑这些变量，并使用更精细的方法来控制它们。</w:t>
      </w:r>
    </w:p>
    <w:p>
      <w:pPr>
        <w:jc w:val="both"/>
      </w:pPr>
      <w:r>
        <w:rPr/>
        <w:t xml:space="preserve"/>
      </w:r>
    </w:p>
    <w:p>
      <w:pPr>
        <w:jc w:val="both"/>
      </w:pPr>
      <w:r>
        <w:rPr/>
        <w:t xml:space="preserve">其次，该文章没有充分探讨投资者偏好和风险管理之间的区别。作者认为高负责任投资者（即具有环保倾向的投资者）会愿意支付更高的贷款利率以支持环保企业。然而，在实践中，很难确定是否存在这样的投资者，并且他们是否真正愿意为此付出代价。因此，作者需要更深入地研究这个问题，并提供更多证据来支持他们的观点。</w:t>
      </w:r>
    </w:p>
    <w:p>
      <w:pPr>
        <w:jc w:val="both"/>
      </w:pPr>
      <w:r>
        <w:rPr/>
        <w:t xml:space="preserve"/>
      </w:r>
    </w:p>
    <w:p>
      <w:pPr>
        <w:jc w:val="both"/>
      </w:pPr>
      <w:r>
        <w:rPr/>
        <w:t xml:space="preserve">此外，该文章没有考虑到碳排放数据本身可能存在误差或不准确性问题。由于大多数数据都是自我报告的，企业可能会夸大或低估其排放量。因此，在使用这些数据时需要谨慎，并采取适当的校正方法。</w:t>
      </w:r>
    </w:p>
    <w:p>
      <w:pPr>
        <w:jc w:val="both"/>
      </w:pPr>
      <w:r>
        <w:rPr/>
        <w:t xml:space="preserve"/>
      </w:r>
    </w:p>
    <w:p>
      <w:pPr>
        <w:jc w:val="both"/>
      </w:pPr>
      <w:r>
        <w:rPr/>
        <w:t xml:space="preserve">最后，该文章没有充分考虑到环境政策和法规对银行贷款利率和企业环境表现之间关系的影响。政府可以通过税收、补贴、监管等手段来鼓励或惩罚企业采取环保措施。因此，在评估企业环境表现对银行贷款利率影响时需要将政策和法规纳入考虑范围内。</w:t>
      </w:r>
    </w:p>
    <w:p>
      <w:pPr>
        <w:jc w:val="both"/>
      </w:pPr>
      <w:r>
        <w:rPr/>
        <w:t xml:space="preserve"/>
      </w:r>
    </w:p>
    <w:p>
      <w:pPr>
        <w:jc w:val="both"/>
      </w:pPr>
      <w:r>
        <w:rPr/>
        <w:t xml:space="preserve">总之，尽管该文章提供了一些有用信息来解释企业环境表现与银行贷款利率之间的关系，但它仍存在一些潜在偏见和局限性。未来研究应更全面地考虑各种因素，并使用更精细的方法来控制它们。</w:t>
      </w:r>
    </w:p>
    <w:p>
      <w:pPr>
        <w:pStyle w:val="Heading1"/>
      </w:pPr>
      <w:bookmarkStart w:id="5" w:name="_Toc5"/>
      <w:r>
        <w:t>Topics for further research:</w:t>
      </w:r>
      <w:bookmarkEnd w:id="5"/>
    </w:p>
    <w:p>
      <w:pPr>
        <w:spacing w:after="0"/>
        <w:numPr>
          <w:ilvl w:val="0"/>
          <w:numId w:val="2"/>
        </w:numPr>
      </w:pPr>
      <w:r>
        <w:rPr/>
        <w:t xml:space="preserve">复杂关系
</w:t>
      </w:r>
    </w:p>
    <w:p>
      <w:pPr>
        <w:spacing w:after="0"/>
        <w:numPr>
          <w:ilvl w:val="0"/>
          <w:numId w:val="2"/>
        </w:numPr>
      </w:pPr>
      <w:r>
        <w:rPr/>
        <w:t xml:space="preserve">投资者偏好和风险管理
</w:t>
      </w:r>
    </w:p>
    <w:p>
      <w:pPr>
        <w:spacing w:after="0"/>
        <w:numPr>
          <w:ilvl w:val="0"/>
          <w:numId w:val="2"/>
        </w:numPr>
      </w:pPr>
      <w:r>
        <w:rPr/>
        <w:t xml:space="preserve">数据误差或不准确性
</w:t>
      </w:r>
    </w:p>
    <w:p>
      <w:pPr>
        <w:spacing w:after="0"/>
        <w:numPr>
          <w:ilvl w:val="0"/>
          <w:numId w:val="2"/>
        </w:numPr>
      </w:pPr>
      <w:r>
        <w:rPr/>
        <w:t xml:space="preserve">环境政策和法规
</w:t>
      </w:r>
    </w:p>
    <w:p>
      <w:pPr>
        <w:spacing w:after="0"/>
        <w:numPr>
          <w:ilvl w:val="0"/>
          <w:numId w:val="2"/>
        </w:numPr>
      </w:pPr>
      <w:r>
        <w:rPr/>
        <w:t xml:space="preserve">全面考虑各种因素
</w:t>
      </w:r>
    </w:p>
    <w:p>
      <w:pPr>
        <w:numPr>
          <w:ilvl w:val="0"/>
          <w:numId w:val="2"/>
        </w:numPr>
      </w:pPr>
      <w:r>
        <w:rPr/>
        <w:t xml:space="preserve">精细的方法控制变量</w:t>
      </w:r>
    </w:p>
    <w:p>
      <w:pPr>
        <w:pStyle w:val="Heading1"/>
      </w:pPr>
      <w:bookmarkStart w:id="6" w:name="_Toc6"/>
      <w:r>
        <w:t>Report location:</w:t>
      </w:r>
      <w:bookmarkEnd w:id="6"/>
    </w:p>
    <w:p>
      <w:hyperlink r:id="rId8" w:history="1">
        <w:r>
          <w:rPr>
            <w:color w:val="2980b9"/>
            <w:u w:val="single"/>
          </w:rPr>
          <w:t xml:space="preserve">https://www.fullpicture.app/item/dd73df82333c4303908dfc137156fd5f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F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176521002135" TargetMode="External"/><Relationship Id="rId8" Type="http://schemas.openxmlformats.org/officeDocument/2006/relationships/hyperlink" Target="https://www.fullpicture.app/item/dd73df82333c4303908dfc137156fd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2024-01-01T14:15:04+01:00</dcterms:created>
  <dcterms:modified xsi:type="dcterms:W3CDTF">2024-01-01T14:15:04+01:00</dcterms:modified>
</cp:coreProperties>
</file>

<file path=docProps/custom.xml><?xml version="1.0" encoding="utf-8"?>
<Properties xmlns="http://schemas.openxmlformats.org/officeDocument/2006/custom-properties" xmlns:vt="http://schemas.openxmlformats.org/officeDocument/2006/docPropsVTypes"/>
</file>