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CAND1-Mediated Substrate Adaptor Recycling Is Required for Efficient Repression of Nrf2 by Keap1</w:t>
      </w:r>
      <w:br/>
      <w:hyperlink r:id="rId7" w:history="1">
        <w:r>
          <w:rPr>
            <w:color w:val="2980b9"/>
            <w:u w:val="single"/>
          </w:rPr>
          <w:t xml:space="preserve">https://journals.asm.org/doi/epub/10.1128/MCB.26.4.1235-1244.2006</w:t>
        </w:r>
      </w:hyperlink>
    </w:p>
    <w:p>
      <w:pPr>
        <w:pStyle w:val="Heading1"/>
      </w:pPr>
      <w:bookmarkStart w:id="2" w:name="_Toc2"/>
      <w:r>
        <w:t>Article summary:</w:t>
      </w:r>
      <w:bookmarkEnd w:id="2"/>
    </w:p>
    <w:p>
      <w:pPr>
        <w:jc w:val="both"/>
      </w:pPr>
      <w:r>
        <w:rPr/>
        <w:t xml:space="preserve">1. Keap1 is a substrate adaptor protein that regulates the levels of Nrf2, a transcription factor that protects cells from oxidative damage.</w:t>
      </w:r>
    </w:p>
    <w:p>
      <w:pPr>
        <w:jc w:val="both"/>
      </w:pPr>
      <w:r>
        <w:rPr/>
        <w:t xml:space="preserve">2. Substrate adaptor recycling, which involves dynamic cycles of assembly and disassembly of cullin-dependent ubiquitin ligase complexes, is important for efficient repression of Nrf2 by Keap1.</w:t>
      </w:r>
    </w:p>
    <w:p>
      <w:pPr>
        <w:jc w:val="both"/>
      </w:pPr>
      <w:r>
        <w:rPr/>
        <w:t xml:space="preserve">3. Both overexpression and knockdown of the substrate adaptor recycling protein, CAND1, affect the ability of Keap1 to target Nrf2 for degradation, resulting in stabilization of Nrf2 and activation of Nrf2-dependent gene expression.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"CAND1-Mediated Substrate Adaptor Recycling Is Required for Efficient Repression of Nrf2 by Keap1" discusses the role of substrate adaptor recycling in regulating the repression of Nrf2 by Keap1. The authors provide evidence that substrate adaptor recycling is necessary for efficient ubiquitination and degradation of Nrf2, a transcription factor that plays a critical role in protecting cells from oxidative damage.</w:t>
      </w:r>
    </w:p>
    <w:p>
      <w:pPr>
        <w:jc w:val="both"/>
      </w:pPr>
      <w:r>
        <w:rPr/>
        <w:t xml:space="preserve"/>
      </w:r>
    </w:p>
    <w:p>
      <w:pPr>
        <w:jc w:val="both"/>
      </w:pPr>
      <w:r>
        <w:rPr/>
        <w:t xml:space="preserve">Overall, the article appears to be well-researched and provides valuable insights into the regulation of Nrf2 by Keap1. However, there are some potential biases and limitations to consider.</w:t>
      </w:r>
    </w:p>
    <w:p>
      <w:pPr>
        <w:jc w:val="both"/>
      </w:pPr>
      <w:r>
        <w:rPr/>
        <w:t xml:space="preserve"/>
      </w:r>
    </w:p>
    <w:p>
      <w:pPr>
        <w:jc w:val="both"/>
      </w:pPr>
      <w:r>
        <w:rPr/>
        <w:t xml:space="preserve">One potential bias is that the study focuses exclusively on the role of CAND1 in regulating Keap1-mediated repression of Nrf2. While CAND1 is an important regulator of cullin-dependent E3 ubiquitin ligase complexes, there may be other factors that also play a role in this process. For example, previous studies have shown that other proteins, such as DDB1 and RBX1, can also regulate cullin-dependent E3 ubiquitin ligase activity.</w:t>
      </w:r>
    </w:p>
    <w:p>
      <w:pPr>
        <w:jc w:val="both"/>
      </w:pPr>
      <w:r>
        <w:rPr/>
        <w:t xml:space="preserve"/>
      </w:r>
    </w:p>
    <w:p>
      <w:pPr>
        <w:jc w:val="both"/>
      </w:pPr>
      <w:r>
        <w:rPr/>
        <w:t xml:space="preserve">Another limitation is that the study primarily relies on overexpression and knockdown experiments to investigate the role of CAND1 in regulating Keap1-mediated repression of Nrf2. While these approaches can provide valuable insights into protein function, they may not fully capture the complexity of these regulatory pathways in vivo. Future studies could use more sophisticated techniques, such as CRISPR/Cas9-mediated gene editing or proteomics-based approaches, to further explore these pathways.</w:t>
      </w:r>
    </w:p>
    <w:p>
      <w:pPr>
        <w:jc w:val="both"/>
      </w:pPr>
      <w:r>
        <w:rPr/>
        <w:t xml:space="preserve"/>
      </w:r>
    </w:p>
    <w:p>
      <w:pPr>
        <w:jc w:val="both"/>
      </w:pPr>
      <w:r>
        <w:rPr/>
        <w:t xml:space="preserve">Additionally, while the authors provide evidence supporting their hypothesis that substrate adaptor recycling is necessary for efficient ubiquitination and degradation of Nrf2 by Keap1, they do not fully explore alternative explanations or counterarguments. For example, it is possible that substrate adaptor recycling may play a more general role in regulating cullin-dependent E3 ubiquitin ligase activity rather than specifically affecting Keap1-mediated repression of Nrf2.</w:t>
      </w:r>
    </w:p>
    <w:p>
      <w:pPr>
        <w:jc w:val="both"/>
      </w:pPr>
      <w:r>
        <w:rPr/>
        <w:t xml:space="preserve"/>
      </w:r>
    </w:p>
    <w:p>
      <w:pPr>
        <w:jc w:val="both"/>
      </w:pPr>
      <w:r>
        <w:rPr/>
        <w:t xml:space="preserve">Finally, it is worth noting that while the article does not appear to contain any overtly promotional content or biases towards specific products or companies, it does focus on a relatively narrow area of research (i.e., protein-protein interactions involved in regulating Nrf2). As such, readers should be aware that there may be other factors or pathways involved in regulating oxidative stress response and cellular redox homeostasis beyond those discussed in this article.</w:t>
      </w:r>
    </w:p>
    <w:p>
      <w:pPr>
        <w:jc w:val="both"/>
      </w:pPr>
      <w:r>
        <w:rPr/>
        <w:t xml:space="preserve"/>
      </w:r>
    </w:p>
    <w:p>
      <w:pPr>
        <w:jc w:val="both"/>
      </w:pPr>
      <w:r>
        <w:rPr/>
        <w:t xml:space="preserve">In conclusion, while "CAND1-Mediated Substrate Adaptor Recycling Is Required for Efficient Repression of Nrf2 by Keap1" provides valuable insights into the regulation of Nrf2 by Keap1 and highlights the importance of substrate adaptor recycling in this process, readers should be aware of potential biases and limitations associated with this study. Further research will be needed to fully understand these complex regulatory pathways and their implications for human health and disease.</w:t>
      </w:r>
    </w:p>
    <w:p>
      <w:pPr>
        <w:pStyle w:val="Heading1"/>
      </w:pPr>
      <w:bookmarkStart w:id="5" w:name="_Toc5"/>
      <w:r>
        <w:t>Topics for further research:</w:t>
      </w:r>
      <w:bookmarkEnd w:id="5"/>
    </w:p>
    <w:p>
      <w:pPr>
        <w:spacing w:after="0"/>
        <w:numPr>
          <w:ilvl w:val="0"/>
          <w:numId w:val="2"/>
        </w:numPr>
      </w:pPr>
      <w:r>
        <w:rPr/>
        <w:t xml:space="preserve">Alternative regulators of cullin-dependent E3 ubiquitin ligase activity
</w:t>
      </w:r>
    </w:p>
    <w:p>
      <w:pPr>
        <w:spacing w:after="0"/>
        <w:numPr>
          <w:ilvl w:val="0"/>
          <w:numId w:val="2"/>
        </w:numPr>
      </w:pPr>
      <w:r>
        <w:rPr/>
        <w:t xml:space="preserve">In vivo complexity of protein-protein interactions involved in regulating Nrf2
</w:t>
      </w:r>
    </w:p>
    <w:p>
      <w:pPr>
        <w:spacing w:after="0"/>
        <w:numPr>
          <w:ilvl w:val="0"/>
          <w:numId w:val="2"/>
        </w:numPr>
      </w:pPr>
      <w:r>
        <w:rPr/>
        <w:t xml:space="preserve">CRISPR/Cas9-mediated gene editing for investigating regulatory pathways
</w:t>
      </w:r>
    </w:p>
    <w:p>
      <w:pPr>
        <w:spacing w:after="0"/>
        <w:numPr>
          <w:ilvl w:val="0"/>
          <w:numId w:val="2"/>
        </w:numPr>
      </w:pPr>
      <w:r>
        <w:rPr/>
        <w:t xml:space="preserve">Proteomics-based approaches for exploring protein function
</w:t>
      </w:r>
    </w:p>
    <w:p>
      <w:pPr>
        <w:spacing w:after="0"/>
        <w:numPr>
          <w:ilvl w:val="0"/>
          <w:numId w:val="2"/>
        </w:numPr>
      </w:pPr>
      <w:r>
        <w:rPr/>
        <w:t xml:space="preserve">Counterarguments to the hypothesis of substrate adaptor recycling in Nrf2 regulation
</w:t>
      </w:r>
    </w:p>
    <w:p>
      <w:pPr>
        <w:numPr>
          <w:ilvl w:val="0"/>
          <w:numId w:val="2"/>
        </w:numPr>
      </w:pPr>
      <w:r>
        <w:rPr/>
        <w:t xml:space="preserve">Other factors and pathways involved in regulating oxidative stress response and cellular redox homeostasis</w:t>
      </w:r>
    </w:p>
    <w:p>
      <w:pPr>
        <w:pStyle w:val="Heading1"/>
      </w:pPr>
      <w:bookmarkStart w:id="6" w:name="_Toc6"/>
      <w:r>
        <w:t>Report location:</w:t>
      </w:r>
      <w:bookmarkEnd w:id="6"/>
    </w:p>
    <w:p>
      <w:hyperlink r:id="rId8" w:history="1">
        <w:r>
          <w:rPr>
            <w:color w:val="2980b9"/>
            <w:u w:val="single"/>
          </w:rPr>
          <w:t xml:space="preserve">https://www.fullpicture.app/item/de3c835f4a938088a14616c4614cc256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E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epub/10.1128/MCB.26.4.1235-1244.2006" TargetMode="External"/><Relationship Id="rId8" Type="http://schemas.openxmlformats.org/officeDocument/2006/relationships/hyperlink" Target="https://www.fullpicture.app/item/de3c835f4a938088a14616c4614cc2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2023-03-15T23:57:38+01:00</dcterms:created>
  <dcterms:modified xsi:type="dcterms:W3CDTF">2023-03-15T23:57:38+01:00</dcterms:modified>
</cp:coreProperties>
</file>

<file path=docProps/custom.xml><?xml version="1.0" encoding="utf-8"?>
<Properties xmlns="http://schemas.openxmlformats.org/officeDocument/2006/custom-properties" xmlns:vt="http://schemas.openxmlformats.org/officeDocument/2006/docPropsVTypes"/>
</file>