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 Profiling and Sizing of Extracellular Vesicles from Colorectal Cancer Patients via Flow Cytometry | ACS Nano</w:t>
      </w:r>
      <w:br/>
      <w:hyperlink r:id="rId7" w:history="1">
        <w:r>
          <w:rPr>
            <w:color w:val="2980b9"/>
            <w:u w:val="single"/>
          </w:rPr>
          <w:t xml:space="preserve">https://pubs.acs.org/doi/full/10.1021/acsnano.7b07782</w:t>
        </w:r>
      </w:hyperlink>
    </w:p>
    <w:p>
      <w:pPr>
        <w:pStyle w:val="Heading1"/>
      </w:pPr>
      <w:bookmarkStart w:id="2" w:name="_Toc2"/>
      <w:r>
        <w:t>Article summary:</w:t>
      </w:r>
      <w:bookmarkEnd w:id="2"/>
    </w:p>
    <w:p>
      <w:pPr>
        <w:jc w:val="both"/>
      </w:pPr>
      <w:r>
        <w:rPr/>
        <w:t xml:space="preserve">1. 通过高灵敏度流式细胞术（HSFCM），可以快速定量分析单个肠癌患者的外泌体（EVs）的蛋白质组和大小。这种方法能够处理小至40纳米的EVs，并且每分钟可分析多达10,000个颗粒。</w:t>
      </w:r>
    </w:p>
    <w:p>
      <w:pPr>
        <w:jc w:val="both"/>
      </w:pPr>
      <w:r>
        <w:rPr/>
        <w:t xml:space="preserve">2. 使用免疫荧光染色，可以对表达CD9、CD63和/或CD81的EVs亚群进行定量分析。在血液样本中使用HSFCM分析时，发现与健康对照组相比，结直肠癌患者中CD147阳性EVs水平显著升高（P &lt; 0.001）。</w:t>
      </w:r>
    </w:p>
    <w:p>
      <w:pPr>
        <w:jc w:val="both"/>
      </w:pPr>
      <w:r>
        <w:rPr/>
        <w:t xml:space="preserve">3. HSFCM提供了一种敏感且快速的平台，用于表面蛋白质组和单个EVs的大小测定，这有助于更好地理解EV介导的细胞间通信，并促进先进诊断和治疗策略的发展。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这篇文章介绍了一种利用高灵敏度流式细胞术（HSFCM）对结直肠癌患者的细胞外囊泡（EVs）进行蛋白质分析和大小测定的方法。然而，该文章存在一些潜在的偏见和问题。</w:t>
      </w:r>
    </w:p>
    <w:p>
      <w:pPr>
        <w:jc w:val="both"/>
      </w:pPr>
      <w:r>
        <w:rPr/>
        <w:t xml:space="preserve"/>
      </w:r>
    </w:p>
    <w:p>
      <w:pPr>
        <w:jc w:val="both"/>
      </w:pPr>
      <w:r>
        <w:rPr/>
        <w:t xml:space="preserve">首先，文章没有提及作者是否有与制造或销售HSFCM相关的利益冲突。如果作者与该技术有商业关系，可能会导致对其结果进行过度宣传或夸大其重要性。</w:t>
      </w:r>
    </w:p>
    <w:p>
      <w:pPr>
        <w:jc w:val="both"/>
      </w:pPr>
      <w:r>
        <w:rPr/>
        <w:t xml:space="preserve"/>
      </w:r>
    </w:p>
    <w:p>
      <w:pPr>
        <w:jc w:val="both"/>
      </w:pPr>
      <w:r>
        <w:rPr/>
        <w:t xml:space="preserve">其次，文章没有充分讨论EVs样本的选择和处理方法。不同的样本处理方法可能会对结果产生影响，并且可能存在其他未考虑到的因素干扰结果。</w:t>
      </w:r>
    </w:p>
    <w:p>
      <w:pPr>
        <w:jc w:val="both"/>
      </w:pPr>
      <w:r>
        <w:rPr/>
        <w:t xml:space="preserve"/>
      </w:r>
    </w:p>
    <w:p>
      <w:pPr>
        <w:jc w:val="both"/>
      </w:pPr>
      <w:r>
        <w:rPr/>
        <w:t xml:space="preserve">此外，文章中提到使用HSFCM分析血液样本时，在结直肠癌患者中发现了CD147阳性EVs水平显著升高。然而，文章没有提供足够的证据来支持这一主张。缺乏对其他因素（如年龄、性别、疾病阶段等）进行控制，并且未提供与健康对照组之间的比较数据。</w:t>
      </w:r>
    </w:p>
    <w:p>
      <w:pPr>
        <w:jc w:val="both"/>
      </w:pPr>
      <w:r>
        <w:rPr/>
        <w:t xml:space="preserve"/>
      </w:r>
    </w:p>
    <w:p>
      <w:pPr>
        <w:jc w:val="both"/>
      </w:pPr>
      <w:r>
        <w:rPr/>
        <w:t xml:space="preserve">另外，文章没有探讨EVs在肿瘤发展中的具体作用以及其与其他信号通路之间的相互作用。这些信息对于理解EV介导的细胞间通讯以及开发先进的诊断和治疗策略至关重要。</w:t>
      </w:r>
    </w:p>
    <w:p>
      <w:pPr>
        <w:jc w:val="both"/>
      </w:pPr>
      <w:r>
        <w:rPr/>
        <w:t xml:space="preserve"/>
      </w:r>
    </w:p>
    <w:p>
      <w:pPr>
        <w:jc w:val="both"/>
      </w:pPr>
      <w:r>
        <w:rPr/>
        <w:t xml:space="preserve">最后，文章没有平等地呈现双方观点。它只关注了结直肠癌患者中CD147阳性EVs水平的升高，而没有提及任何可能的风险或负面影响。</w:t>
      </w:r>
    </w:p>
    <w:p>
      <w:pPr>
        <w:jc w:val="both"/>
      </w:pPr>
      <w:r>
        <w:rPr/>
        <w:t xml:space="preserve"/>
      </w:r>
    </w:p>
    <w:p>
      <w:pPr>
        <w:jc w:val="both"/>
      </w:pPr>
      <w:r>
        <w:rPr/>
        <w:t xml:space="preserve">综上所述，尽管该文章提出了一种新颖的方法来分析EVs，并且结果可能具有一定的临床意义，但它存在一些潜在的偏见和不足之处。更多的研究和证据需要进行进一步验证和支持这些结果。</w:t>
      </w:r>
    </w:p>
    <w:p>
      <w:pPr>
        <w:pStyle w:val="Heading1"/>
      </w:pPr>
      <w:bookmarkStart w:id="5" w:name="_Toc5"/>
      <w:r>
        <w:t>Topics for further research:</w:t>
      </w:r>
      <w:bookmarkEnd w:id="5"/>
    </w:p>
    <w:p>
      <w:pPr>
        <w:spacing w:after="0"/>
        <w:numPr>
          <w:ilvl w:val="0"/>
          <w:numId w:val="2"/>
        </w:numPr>
      </w:pPr>
      <w:r>
        <w:rPr/>
        <w:t xml:space="preserve">高灵敏度流式细胞术（HSFCM）的利益冲突
</w:t>
      </w:r>
    </w:p>
    <w:p>
      <w:pPr>
        <w:spacing w:after="0"/>
        <w:numPr>
          <w:ilvl w:val="0"/>
          <w:numId w:val="2"/>
        </w:numPr>
      </w:pPr>
      <w:r>
        <w:rPr/>
        <w:t xml:space="preserve">细胞外囊泡（EVs）样本的选择和处理方法
</w:t>
      </w:r>
    </w:p>
    <w:p>
      <w:pPr>
        <w:spacing w:after="0"/>
        <w:numPr>
          <w:ilvl w:val="0"/>
          <w:numId w:val="2"/>
        </w:numPr>
      </w:pPr>
      <w:r>
        <w:rPr/>
        <w:t xml:space="preserve">CD147阳性EVs水平的升高是否有足够的证据支持
</w:t>
      </w:r>
    </w:p>
    <w:p>
      <w:pPr>
        <w:spacing w:after="0"/>
        <w:numPr>
          <w:ilvl w:val="0"/>
          <w:numId w:val="2"/>
        </w:numPr>
      </w:pPr>
      <w:r>
        <w:rPr/>
        <w:t xml:space="preserve">EVs在肿瘤发展中的作用和与其他信号通路的相互作用
</w:t>
      </w:r>
    </w:p>
    <w:p>
      <w:pPr>
        <w:spacing w:after="0"/>
        <w:numPr>
          <w:ilvl w:val="0"/>
          <w:numId w:val="2"/>
        </w:numPr>
      </w:pPr>
      <w:r>
        <w:rPr/>
        <w:t xml:space="preserve">平等呈现双方观点的缺失
</w:t>
      </w:r>
    </w:p>
    <w:p>
      <w:pPr>
        <w:numPr>
          <w:ilvl w:val="0"/>
          <w:numId w:val="2"/>
        </w:numPr>
      </w:pPr>
      <w:r>
        <w:rPr/>
        <w:t xml:space="preserve">进一步验证和支持结果所需的更多研究和证据</w:t>
      </w:r>
    </w:p>
    <w:p>
      <w:pPr>
        <w:pStyle w:val="Heading1"/>
      </w:pPr>
      <w:bookmarkStart w:id="6" w:name="_Toc6"/>
      <w:r>
        <w:t>Report location:</w:t>
      </w:r>
      <w:bookmarkEnd w:id="6"/>
    </w:p>
    <w:p>
      <w:hyperlink r:id="rId8" w:history="1">
        <w:r>
          <w:rPr>
            <w:color w:val="2980b9"/>
            <w:u w:val="single"/>
          </w:rPr>
          <w:t xml:space="preserve">https://www.fullpicture.app/item/df369b6509dae256fe791368c1e0d326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D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7b07782" TargetMode="External"/><Relationship Id="rId8" Type="http://schemas.openxmlformats.org/officeDocument/2006/relationships/hyperlink" Target="https://www.fullpicture.app/item/df369b6509dae256fe791368c1e0d3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2024-03-10T18:26:36+01:00</dcterms:created>
  <dcterms:modified xsi:type="dcterms:W3CDTF">2024-03-10T18:26:36+01:00</dcterms:modified>
</cp:coreProperties>
</file>

<file path=docProps/custom.xml><?xml version="1.0" encoding="utf-8"?>
<Properties xmlns="http://schemas.openxmlformats.org/officeDocument/2006/custom-properties" xmlns:vt="http://schemas.openxmlformats.org/officeDocument/2006/docPropsVTypes"/>
</file>