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OECD Better Life Index</w:t>
      </w:r>
      <w:br/>
      <w:hyperlink r:id="rId7" w:history="1">
        <w:r>
          <w:rPr>
            <w:color w:val="2980b9"/>
            <w:u w:val="single"/>
          </w:rPr>
          <w:t xml:space="preserve">https://www.oecdbetterlifeindex.org/countries/luxembourg/</w:t>
        </w:r>
      </w:hyperlink>
    </w:p>
    <w:p>
      <w:pPr>
        <w:pStyle w:val="Heading1"/>
      </w:pPr>
      <w:bookmarkStart w:id="2" w:name="_Toc2"/>
      <w:r>
        <w:t>Article summary:</w:t>
      </w:r>
      <w:bookmarkEnd w:id="2"/>
    </w:p>
    <w:p>
      <w:pPr>
        <w:jc w:val="both"/>
      </w:pPr>
      <w:r>
        <w:rPr/>
        <w:t xml:space="preserve">1. Luxembourg performs well in terms of income, health, environmental quality, safety and life satisfaction.</w:t>
      </w:r>
    </w:p>
    <w:p>
      <w:pPr>
        <w:jc w:val="both"/>
      </w:pPr>
      <w:r>
        <w:rPr/>
        <w:t xml:space="preserve">2. The average household net-adjusted disposable income per capita is USD 44 773 a year.</w:t>
      </w:r>
    </w:p>
    <w:p>
      <w:pPr>
        <w:jc w:val="both"/>
      </w:pPr>
      <w:r>
        <w:rPr/>
        <w:t xml:space="preserve">3. Luxembourg has high levels of civic participation with 90% voter turnout during recent elections.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OECD Better Life Index for Luxembourg, highlighting the country's performance across various dimensions such as income, health, environmental quality, safety and life satisfaction. The article is generally reliable and trustworthy as it provides factual information that is supported by evidence from sources such as the OECD's Programme for International Student Assessment (PISA). However, there are some potential biases in the article that should be noted. For example, while the article does mention that Luxembourg underperforms in education compared to other countries in the Better Life Index, it does not provide any further details or analysis on this issue. Additionally, while the article mentions that Luxembourg has high levels of civic participation with 90% voter turnout during recent elections, it does not explore any potential reasons for this high level of engagement or discuss any possible risks associated with compulsory voting.</w:t>
      </w:r>
    </w:p>
    <w:p>
      <w:pPr>
        <w:pStyle w:val="Heading1"/>
      </w:pPr>
      <w:bookmarkStart w:id="5" w:name="_Toc5"/>
      <w:r>
        <w:t>Topics for further research:</w:t>
      </w:r>
      <w:bookmarkEnd w:id="5"/>
    </w:p>
    <w:p>
      <w:pPr>
        <w:spacing w:after="0"/>
        <w:numPr>
          <w:ilvl w:val="0"/>
          <w:numId w:val="2"/>
        </w:numPr>
      </w:pPr>
      <w:r>
        <w:rPr/>
        <w:t xml:space="preserve">OECD Better Life Index Luxembourg education</w:t>
      </w:r>
    </w:p>
    <w:p>
      <w:pPr>
        <w:spacing w:after="0"/>
        <w:numPr>
          <w:ilvl w:val="0"/>
          <w:numId w:val="2"/>
        </w:numPr>
      </w:pPr>
      <w:r>
        <w:rPr/>
        <w:t xml:space="preserve">Reasons for high voter turnout in Luxembourg</w:t>
      </w:r>
    </w:p>
    <w:p>
      <w:pPr>
        <w:spacing w:after="0"/>
        <w:numPr>
          <w:ilvl w:val="0"/>
          <w:numId w:val="2"/>
        </w:numPr>
      </w:pPr>
      <w:r>
        <w:rPr/>
        <w:t xml:space="preserve">Risks of compulsory voting in Luxembourg</w:t>
      </w:r>
    </w:p>
    <w:p>
      <w:pPr>
        <w:spacing w:after="0"/>
        <w:numPr>
          <w:ilvl w:val="0"/>
          <w:numId w:val="2"/>
        </w:numPr>
      </w:pPr>
      <w:r>
        <w:rPr/>
        <w:t xml:space="preserve">OECD Better Life Index Luxembourg income</w:t>
      </w:r>
    </w:p>
    <w:p>
      <w:pPr>
        <w:spacing w:after="0"/>
        <w:numPr>
          <w:ilvl w:val="0"/>
          <w:numId w:val="2"/>
        </w:numPr>
      </w:pPr>
      <w:r>
        <w:rPr/>
        <w:t xml:space="preserve">OECD Better Life Index Luxembourg health</w:t>
      </w:r>
    </w:p>
    <w:p>
      <w:pPr>
        <w:numPr>
          <w:ilvl w:val="0"/>
          <w:numId w:val="2"/>
        </w:numPr>
      </w:pPr>
      <w:r>
        <w:rPr/>
        <w:t xml:space="preserve">OECD Better Life Index Luxembourg environmental quality</w:t>
      </w:r>
    </w:p>
    <w:p>
      <w:pPr>
        <w:pStyle w:val="Heading1"/>
      </w:pPr>
      <w:bookmarkStart w:id="6" w:name="_Toc6"/>
      <w:r>
        <w:t>Report location:</w:t>
      </w:r>
      <w:bookmarkEnd w:id="6"/>
    </w:p>
    <w:p>
      <w:hyperlink r:id="rId8" w:history="1">
        <w:r>
          <w:rPr>
            <w:color w:val="2980b9"/>
            <w:u w:val="single"/>
          </w:rPr>
          <w:t xml:space="preserve">https://www.fullpicture.app/item/e03605f69edb16e8cd3bac083d172000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E4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cdbetterlifeindex.org/countries/luxembourg/" TargetMode="External"/><Relationship Id="rId8" Type="http://schemas.openxmlformats.org/officeDocument/2006/relationships/hyperlink" Target="https://www.fullpicture.app/item/e03605f69edb16e8cd3bac083d172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2023-02-24T06:49:04+01:00</dcterms:created>
  <dcterms:modified xsi:type="dcterms:W3CDTF">2023-02-24T06:49:04+01:00</dcterms:modified>
</cp:coreProperties>
</file>

<file path=docProps/custom.xml><?xml version="1.0" encoding="utf-8"?>
<Properties xmlns="http://schemas.openxmlformats.org/officeDocument/2006/custom-properties" xmlns:vt="http://schemas.openxmlformats.org/officeDocument/2006/docPropsVTypes"/>
</file>