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Mitochondrial related genome-wide Mendelian randomization identifies putatively causal genes for multiple cancer types - eBioMedicine</w:t>
      </w:r>
      <w:br/>
      <w:hyperlink r:id="rId7" w:history="1">
        <w:r>
          <w:rPr>
            <w:color w:val="2980b9"/>
            <w:u w:val="single"/>
          </w:rPr>
          <w:t xml:space="preserve">https://www.thelancet.com/journals/ebiom/article/PIIS2352-3964(22)00614-4/fulltext</w:t>
        </w:r>
      </w:hyperlink>
    </w:p>
    <w:p>
      <w:pPr>
        <w:pStyle w:val="Heading1"/>
      </w:pPr>
      <w:bookmarkStart w:id="2" w:name="_Toc2"/>
      <w:r>
        <w:t>Article summary:</w:t>
      </w:r>
      <w:bookmarkEnd w:id="2"/>
    </w:p>
    <w:p>
      <w:pPr>
        <w:jc w:val="both"/>
      </w:pPr>
      <w:r>
        <w:rPr/>
        <w:t xml:space="preserve">1. This study used two-sample Mendelian randomization (MR) to examine the potential causal relationship between mitochondrial dysfunction and 18 common cancers.</w:t>
      </w:r>
    </w:p>
    <w:p>
      <w:pPr>
        <w:jc w:val="both"/>
      </w:pPr>
      <w:r>
        <w:rPr/>
        <w:t xml:space="preserve">2. The study identified potential causal relationships between mitochondrial-related genes and breast, prostate, gastric, lung cancer and melanoma.</w:t>
      </w:r>
    </w:p>
    <w:p>
      <w:pPr>
        <w:jc w:val="both"/>
      </w:pPr>
      <w:r>
        <w:rPr/>
        <w:t xml:space="preserve">3. Four genes were identified as having causal effects on three types of cancer: FDPS expression level with breast cancer risk, NSUN4 expression level with both breast cancer risk and prostate cancer risk, NSUN4 methylation level with both breast and prostate cancer risk, and VARS2 methylation level with lung cancer risk.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“Mitochondrial related genome-wide Mendelian randomization identifies putatively causal genes for multiple cancer types - eBioMedicine” is a well-written piece that provides an in-depth analysis of the potential causal relationship between mitochondrial dysfunction and 18 common cancers using two-sample Mendelian randomization (MR). The authors have provided a detailed description of their methods, which includes the use of genetic variants located within or close to 1136 mitochondrial-related genes as instrumental variables, as well as summary data from 18 common cancers (2107–491,974 participants), gene expression, DNA methylation and protein expression quantitative trait loci (eQTL, mQTL and pQTL).</w:t>
      </w:r>
    </w:p>
    <w:p>
      <w:pPr>
        <w:jc w:val="both"/>
      </w:pPr>
      <w:r>
        <w:rPr/>
        <w:t xml:space="preserve">The article is generally trustworthy and reliable; however there are some points that could be improved upon. For example, the authors do not provide any information about possible risks associated with their findings or any counterarguments to their claims. Additionally, they do not present both sides equally; instead they focus solely on the positive aspects of their findings without exploring any potential drawbacks or limitations. Furthermore, there is no discussion of how these findings could be applied in practice or what implications they may have for public health. </w:t>
      </w:r>
    </w:p>
    <w:p>
      <w:pPr>
        <w:jc w:val="both"/>
      </w:pPr>
      <w:r>
        <w:rPr/>
        <w:t xml:space="preserve">In conclusion, this article provides an interesting insight into the potential causal relationship between mitochondrial dysfunction and 18 common cancers using two-sample Mendelian randomization (MR). However it could benefit from further exploration into possible risks associated with its findings as well as a more balanced presentation of both sides of the argument.</w:t>
      </w:r>
    </w:p>
    <w:p>
      <w:pPr>
        <w:pStyle w:val="Heading1"/>
      </w:pPr>
      <w:bookmarkStart w:id="5" w:name="_Toc5"/>
      <w:r>
        <w:t>Topics for further research:</w:t>
      </w:r>
      <w:bookmarkEnd w:id="5"/>
    </w:p>
    <w:p>
      <w:pPr>
        <w:spacing w:after="0"/>
        <w:numPr>
          <w:ilvl w:val="0"/>
          <w:numId w:val="2"/>
        </w:numPr>
      </w:pPr>
      <w:r>
        <w:rPr/>
        <w:t xml:space="preserve">Risks associated with Mendelian randomization</w:t>
      </w:r>
    </w:p>
    <w:p>
      <w:pPr>
        <w:spacing w:after="0"/>
        <w:numPr>
          <w:ilvl w:val="0"/>
          <w:numId w:val="2"/>
        </w:numPr>
      </w:pPr>
      <w:r>
        <w:rPr/>
        <w:t xml:space="preserve">Limitations of two-sample Mendelian randomization</w:t>
      </w:r>
    </w:p>
    <w:p>
      <w:pPr>
        <w:spacing w:after="0"/>
        <w:numPr>
          <w:ilvl w:val="0"/>
          <w:numId w:val="2"/>
        </w:numPr>
      </w:pPr>
      <w:r>
        <w:rPr/>
        <w:t xml:space="preserve">Practical applications of Mendelian randomization</w:t>
      </w:r>
    </w:p>
    <w:p>
      <w:pPr>
        <w:spacing w:after="0"/>
        <w:numPr>
          <w:ilvl w:val="0"/>
          <w:numId w:val="2"/>
        </w:numPr>
      </w:pPr>
      <w:r>
        <w:rPr/>
        <w:t xml:space="preserve">Implications of mitochondrial dysfunction for public health</w:t>
      </w:r>
    </w:p>
    <w:p>
      <w:pPr>
        <w:spacing w:after="0"/>
        <w:numPr>
          <w:ilvl w:val="0"/>
          <w:numId w:val="2"/>
        </w:numPr>
      </w:pPr>
      <w:r>
        <w:rPr/>
        <w:t xml:space="preserve">Counterarguments to Mendelian randomization findings</w:t>
      </w:r>
    </w:p>
    <w:p>
      <w:pPr>
        <w:numPr>
          <w:ilvl w:val="0"/>
          <w:numId w:val="2"/>
        </w:numPr>
      </w:pPr>
      <w:r>
        <w:rPr/>
        <w:t xml:space="preserve">Potential drawbacks of using genetic variants as instrumental variables</w:t>
      </w:r>
    </w:p>
    <w:p>
      <w:pPr>
        <w:pStyle w:val="Heading1"/>
      </w:pPr>
      <w:bookmarkStart w:id="6" w:name="_Toc6"/>
      <w:r>
        <w:t>Report location:</w:t>
      </w:r>
      <w:bookmarkEnd w:id="6"/>
    </w:p>
    <w:p>
      <w:hyperlink r:id="rId8" w:history="1">
        <w:r>
          <w:rPr>
            <w:color w:val="2980b9"/>
            <w:u w:val="single"/>
          </w:rPr>
          <w:t xml:space="preserve">https://www.fullpicture.app/item/e0ffef245c7aead724f9c633406e9c8a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867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ebiom/article/PIIS2352-3964(22)00614-4/fulltext" TargetMode="External"/><Relationship Id="rId8" Type="http://schemas.openxmlformats.org/officeDocument/2006/relationships/hyperlink" Target="https://www.fullpicture.app/item/e0ffef245c7aead724f9c633406e9c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2023-02-20T16:14:27+01:00</dcterms:created>
  <dcterms:modified xsi:type="dcterms:W3CDTF">2023-02-20T16:14:27+01:00</dcterms:modified>
</cp:coreProperties>
</file>

<file path=docProps/custom.xml><?xml version="1.0" encoding="utf-8"?>
<Properties xmlns="http://schemas.openxmlformats.org/officeDocument/2006/custom-properties" xmlns:vt="http://schemas.openxmlformats.org/officeDocument/2006/docPropsVTypes"/>
</file>