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Monthly Credit Outlook: February 2023 Monthly Credit Outlook - Credit Benchmark</w:t>
      </w:r>
      <w:br/>
      <w:hyperlink r:id="rId7" w:history="1">
        <w:r>
          <w:rPr>
            <w:color w:val="2980b9"/>
            <w:u w:val="single"/>
          </w:rPr>
          <w:t xml:space="preserve">https://www.creditbenchmark.com/monthly-credit-outlook-february-2023/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Credit fundamentals for 2023 are challenging, but some optimism is appearing.</w:t>
      </w:r>
    </w:p>
    <w:p>
      <w:pPr>
        <w:jc w:val="both"/>
      </w:pPr>
      <w:r>
        <w:rPr/>
        <w:t xml:space="preserve">2. Defaults and credit index volatility are elevated, with S&amp;P predicting high yield US corporate defaults to hit 3.5% by June 2023.</w:t>
      </w:r>
    </w:p>
    <w:p>
      <w:pPr>
        <w:jc w:val="both"/>
      </w:pPr>
      <w:r>
        <w:rPr/>
        <w:t xml:space="preserve">3. Technology sector is seeing a downturn due to cost of living crisis and the end of easy money, while Financials have seen some COVID-related credit downgrades in 2020.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provides an overview of the current state of the global credit market in February 2023, with a focus on financials and technology sectors. The article is generally reliable in its reporting, as it provides data from reputable sources such as IMF, Bank of England, S&amp;P Global Ratings and Moody’s Investors Service. It also presents both sides of the argument – highlighting both positive developments (e.g., growth forecast upgrades at Davos) as well as potential risks (e.g., Ukraine war). However, there are some areas where the article could be improved upon: </w:t>
      </w:r>
    </w:p>
    <w:p>
      <w:pPr>
        <w:jc w:val="both"/>
      </w:pPr>
      <w:r>
        <w:rPr/>
        <w:t xml:space="preserve">1. The article does not provide any evidence or data to support its claims about consumer-facing and leveraged sectors being hit by the end of easy money; </w:t>
      </w:r>
    </w:p>
    <w:p>
      <w:pPr>
        <w:jc w:val="both"/>
      </w:pPr>
      <w:r>
        <w:rPr/>
        <w:t xml:space="preserve">2. It does not explore counterarguments or alternative perspectives on the topics discussed; </w:t>
      </w:r>
    </w:p>
    <w:p>
      <w:pPr>
        <w:jc w:val="both"/>
      </w:pPr>
      <w:r>
        <w:rPr/>
        <w:t xml:space="preserve">3. It does not provide any information about potential biases or sources of partiality in its reporting; </w:t>
      </w:r>
    </w:p>
    <w:p>
      <w:pPr>
        <w:jc w:val="both"/>
      </w:pPr>
      <w:r>
        <w:rPr/>
        <w:t xml:space="preserve">4. It does not discuss possible risks associated with investing in these sectors; </w:t>
      </w:r>
    </w:p>
    <w:p>
      <w:pPr>
        <w:jc w:val="both"/>
      </w:pPr>
      <w:r>
        <w:rPr/>
        <w:t xml:space="preserve">5. It does not present both sides equally – instead focusing more heavily on potential risks than opportunities; </w:t>
      </w:r>
    </w:p>
    <w:p>
      <w:pPr>
        <w:jc w:val="both"/>
      </w:pPr>
      <w:r>
        <w:rPr/>
        <w:t xml:space="preserve">6. There is no discussion about promotional content or whether certain points are being overstated or exaggerated for marketing purposes; </w:t>
      </w:r>
    </w:p>
    <w:p>
      <w:pPr>
        <w:jc w:val="both"/>
      </w:pPr>
      <w:r>
        <w:rPr/>
        <w:t xml:space="preserve">7. Finally, there is no mention of missing points of consideration that should be taken into account when making investment decisions based on this information.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“Consumer-facing sector risks”</w:t>
      </w:r>
    </w:p>
    <w:p>
      <w:pPr>
        <w:spacing w:after="0"/>
        <w:numPr>
          <w:ilvl w:val="0"/>
          <w:numId w:val="2"/>
        </w:numPr>
      </w:pPr>
      <w:r>
        <w:rPr/>
        <w:t xml:space="preserve">“Leveraged sector opportunities”</w:t>
      </w:r>
    </w:p>
    <w:p>
      <w:pPr>
        <w:spacing w:after="0"/>
        <w:numPr>
          <w:ilvl w:val="0"/>
          <w:numId w:val="2"/>
        </w:numPr>
      </w:pPr>
      <w:r>
        <w:rPr/>
        <w:t xml:space="preserve">“Potential biases in financial reporting”</w:t>
      </w:r>
    </w:p>
    <w:p>
      <w:pPr>
        <w:spacing w:after="0"/>
        <w:numPr>
          <w:ilvl w:val="0"/>
          <w:numId w:val="2"/>
        </w:numPr>
      </w:pPr>
      <w:r>
        <w:rPr/>
        <w:t xml:space="preserve">“Risks associated with investing in technology sectors”</w:t>
      </w:r>
    </w:p>
    <w:p>
      <w:pPr>
        <w:spacing w:after="0"/>
        <w:numPr>
          <w:ilvl w:val="0"/>
          <w:numId w:val="2"/>
        </w:numPr>
      </w:pPr>
      <w:r>
        <w:rPr/>
        <w:t xml:space="preserve">“Promotional content in financial reporting”</w:t>
      </w:r>
    </w:p>
    <w:p>
      <w:pPr>
        <w:numPr>
          <w:ilvl w:val="0"/>
          <w:numId w:val="2"/>
        </w:numPr>
      </w:pPr>
      <w:r>
        <w:rPr/>
        <w:t xml:space="preserve">“Points of consideration for investment decisions”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https://www.fullpicture.app/item/e1270161a09fb5ec0c7f7f2e3bd69daf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7ED8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benchmark.com/monthly-credit-outlook-february-2023/" TargetMode="External"/><Relationship Id="rId8" Type="http://schemas.openxmlformats.org/officeDocument/2006/relationships/hyperlink" Target="https://www.fullpicture.app/item/e1270161a09fb5ec0c7f7f2e3bd69da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2023-02-23T02:44:08+01:00</dcterms:created>
  <dcterms:modified xsi:type="dcterms:W3CDTF">2023-02-23T02:44:08+01:00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