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“优绩优酬”:关于西北农村教师绩效工资的实验研究</w:t>
      </w:r>
      <w:br/>
      <w:hyperlink r:id="rId7" w:history="1">
        <w:r>
          <w:rPr>
            <w:color w:val="2980b9"/>
            <w:u w:val="single"/>
          </w:rPr>
          <w:t xml:space="preserve">https://xbjk.ecnu.edu.cn/CN/10.16382/j.cnki.1000-5560.2018.04.013</w:t>
        </w:r>
      </w:hyperlink>
    </w:p>
    <w:p>
      <w:pPr>
        <w:pStyle w:val="Heading1"/>
      </w:pPr>
      <w:bookmarkStart w:id="2" w:name="_Toc2"/>
      <w:r>
        <w:t>Article summary:</w:t>
      </w:r>
      <w:bookmarkEnd w:id="2"/>
    </w:p>
    <w:p>
      <w:pPr>
        <w:jc w:val="both"/>
      </w:pPr>
      <w:r>
        <w:rPr/>
        <w:t xml:space="preserve">1. 本研究通过实施绩效激励随机干预实验，对西北农村地区的350名数学老师和10784名学生进行了调查研究。</w:t>
      </w:r>
    </w:p>
    <w:p>
      <w:pPr>
        <w:jc w:val="both"/>
      </w:pPr>
      <w:r>
        <w:rPr/>
        <w:t xml:space="preserve">2. 结果显示，采用增加值百分位的激励方式可以促使老师改变教学行为，提高学生的学业表现，尤其对学困生效果更为显著。</w:t>
      </w:r>
    </w:p>
    <w:p>
      <w:pPr>
        <w:jc w:val="both"/>
      </w:pPr>
      <w:r>
        <w:rPr/>
        <w:t xml:space="preserve">3. 基于研究结果，提出了改善义务教育阶段教师绩效工资的具体政策建议，以激励老师关注农村孩子的发展，并给予所有孩子公平发展机会。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这篇文章的“优绩优酬”实验研究在探讨西北农村教师绩效工资方面提出了一些有价值的观点，但也存在一些潜在偏见和不足之处。</w:t>
      </w:r>
    </w:p>
    <w:p>
      <w:pPr>
        <w:jc w:val="both"/>
      </w:pPr>
      <w:r>
        <w:rPr/>
        <w:t xml:space="preserve"/>
      </w:r>
    </w:p>
    <w:p>
      <w:pPr>
        <w:jc w:val="both"/>
      </w:pPr>
      <w:r>
        <w:rPr/>
        <w:t xml:space="preserve">首先，文章没有提及作者可能存在的偏见。例如，作者可能对于绩效工资制度持有某种特定立场，导致在研究设计和结果解释中出现了片面性。此外，文章未明确说明研究的资金来源和可能的利益冲突，这可能影响读者对研究结果的信任度。</w:t>
      </w:r>
    </w:p>
    <w:p>
      <w:pPr>
        <w:jc w:val="both"/>
      </w:pPr>
      <w:r>
        <w:rPr/>
        <w:t xml:space="preserve"/>
      </w:r>
    </w:p>
    <w:p>
      <w:pPr>
        <w:jc w:val="both"/>
      </w:pPr>
      <w:r>
        <w:rPr/>
        <w:t xml:space="preserve">其次，文章只关注了增加值百分位作为教师绩效激励方式的有效性，并未探讨其他可能的激励机制。这种片面报道使得读者无法全面了解不同激励方式之间的比较优劣，缺乏对于整体教师绩效工资制度改革的深入思考。</w:t>
      </w:r>
    </w:p>
    <w:p>
      <w:pPr>
        <w:jc w:val="both"/>
      </w:pPr>
      <w:r>
        <w:rPr/>
        <w:t xml:space="preserve"/>
      </w:r>
    </w:p>
    <w:p>
      <w:pPr>
        <w:jc w:val="both"/>
      </w:pPr>
      <w:r>
        <w:rPr/>
        <w:t xml:space="preserve">此外，文章中提出了改善义务教育阶段教师绩效工资的具体政策建议，但并未提供足够的数据支撑和实证分析来证明这些建议的有效性。缺乏充分依据和论证使得这些主张显得缺乏说服力。</w:t>
      </w:r>
    </w:p>
    <w:p>
      <w:pPr>
        <w:jc w:val="both"/>
      </w:pPr>
      <w:r>
        <w:rPr/>
        <w:t xml:space="preserve"/>
      </w:r>
    </w:p>
    <w:p>
      <w:pPr>
        <w:jc w:val="both"/>
      </w:pPr>
      <w:r>
        <w:rPr/>
        <w:t xml:space="preserve">最后，在整个研究过程中似乎没有充分考虑到可能存在的风险因素。例如，在实施新的绩效工资制度时可能会引发教师之间的竞争与不公平感情况，或者导致学生被过度评价而忽略了其他重要素质。文章应该更加平衡地呈现双方观点，并对潜在风险进行更全面地探讨。</w:t>
      </w:r>
    </w:p>
    <w:p>
      <w:pPr>
        <w:jc w:val="both"/>
      </w:pPr>
      <w:r>
        <w:rPr/>
        <w:t xml:space="preserve"/>
      </w:r>
    </w:p>
    <w:p>
      <w:pPr>
        <w:jc w:val="both"/>
      </w:pPr>
      <w:r>
        <w:rPr/>
        <w:t xml:space="preserve">总之，“优绩优酬”实验研究虽然提供了一些有益信息，但在方法论、数据支撑、风险考量等方面仍有待进一步完善和深化。读者在阅读时应保持批判思维，并注意到其中可能存在的局限性和偏见。</w:t>
      </w:r>
    </w:p>
    <w:p>
      <w:pPr>
        <w:pStyle w:val="Heading1"/>
      </w:pPr>
      <w:bookmarkStart w:id="5" w:name="_Toc5"/>
      <w:r>
        <w:t>Topics for further research:</w:t>
      </w:r>
      <w:bookmarkEnd w:id="5"/>
    </w:p>
    <w:p>
      <w:pPr>
        <w:spacing w:after="0"/>
        <w:numPr>
          <w:ilvl w:val="0"/>
          <w:numId w:val="2"/>
        </w:numPr>
      </w:pPr>
      <w:r>
        <w:rPr/>
        <w:t xml:space="preserve">作者可能存在的偏见
</w:t>
      </w:r>
    </w:p>
    <w:p>
      <w:pPr>
        <w:spacing w:after="0"/>
        <w:numPr>
          <w:ilvl w:val="0"/>
          <w:numId w:val="2"/>
        </w:numPr>
      </w:pPr>
      <w:r>
        <w:rPr/>
        <w:t xml:space="preserve">研究的资金来源和利益冲突
</w:t>
      </w:r>
    </w:p>
    <w:p>
      <w:pPr>
        <w:spacing w:after="0"/>
        <w:numPr>
          <w:ilvl w:val="0"/>
          <w:numId w:val="2"/>
        </w:numPr>
      </w:pPr>
      <w:r>
        <w:rPr/>
        <w:t xml:space="preserve">其他可能的教师激励机制
</w:t>
      </w:r>
    </w:p>
    <w:p>
      <w:pPr>
        <w:spacing w:after="0"/>
        <w:numPr>
          <w:ilvl w:val="0"/>
          <w:numId w:val="2"/>
        </w:numPr>
      </w:pPr>
      <w:r>
        <w:rPr/>
        <w:t xml:space="preserve">政策建议的数据支撑和实证分析
</w:t>
      </w:r>
    </w:p>
    <w:p>
      <w:pPr>
        <w:spacing w:after="0"/>
        <w:numPr>
          <w:ilvl w:val="0"/>
          <w:numId w:val="2"/>
        </w:numPr>
      </w:pPr>
      <w:r>
        <w:rPr/>
        <w:t xml:space="preserve">实施新绩效工资制度可能存在的风险
</w:t>
      </w:r>
    </w:p>
    <w:p>
      <w:pPr>
        <w:numPr>
          <w:ilvl w:val="0"/>
          <w:numId w:val="2"/>
        </w:numPr>
      </w:pPr>
      <w:r>
        <w:rPr/>
        <w:t xml:space="preserve">文章应更平衡地呈现双方观点和探讨潜在风险</w:t>
      </w:r>
    </w:p>
    <w:p>
      <w:pPr>
        <w:pStyle w:val="Heading1"/>
      </w:pPr>
      <w:bookmarkStart w:id="6" w:name="_Toc6"/>
      <w:r>
        <w:t>Report location:</w:t>
      </w:r>
      <w:bookmarkEnd w:id="6"/>
    </w:p>
    <w:p>
      <w:hyperlink r:id="rId8" w:history="1">
        <w:r>
          <w:rPr>
            <w:color w:val="2980b9"/>
            <w:u w:val="single"/>
          </w:rPr>
          <w:t xml:space="preserve">https://www.fullpicture.app/item/e1f3277746bc1a959f3d231a4fdabde9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B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jk.ecnu.edu.cn/CN/10.16382/j.cnki.1000-5560.2018.04.013" TargetMode="External"/><Relationship Id="rId8" Type="http://schemas.openxmlformats.org/officeDocument/2006/relationships/hyperlink" Target="https://www.fullpicture.app/item/e1f3277746bc1a959f3d231a4fdabd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2024-03-17T10:18:25+01:00</dcterms:created>
  <dcterms:modified xsi:type="dcterms:W3CDTF">2024-03-17T10:18:25+01:00</dcterms:modified>
</cp:coreProperties>
</file>

<file path=docProps/custom.xml><?xml version="1.0" encoding="utf-8"?>
<Properties xmlns="http://schemas.openxmlformats.org/officeDocument/2006/custom-properties" xmlns:vt="http://schemas.openxmlformats.org/officeDocument/2006/docPropsVTypes"/>
</file>