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Justice for Ms Dhu: Accounting for Indigenous Deaths in Custody in Australia - Pauline Klippmark, Karen Crawley, 2018</w:t>
      </w:r>
      <w:br/>
      <w:hyperlink r:id="rId7" w:history="1">
        <w:r>
          <w:rPr>
            <w:color w:val="2980b9"/>
            <w:u w:val="single"/>
          </w:rPr>
          <w:t xml:space="preserve">https://journals-sagepub-com.ezproxy.csu.edu.au/doi/10.1177/0964663917734415</w:t>
        </w:r>
      </w:hyperlink>
    </w:p>
    <w:p>
      <w:pPr>
        <w:pStyle w:val="Heading1"/>
      </w:pPr>
      <w:bookmarkStart w:id="2" w:name="_Toc2"/>
      <w:r>
        <w:t>Article summary:</w:t>
      </w:r>
      <w:bookmarkEnd w:id="2"/>
    </w:p>
    <w:p>
      <w:pPr>
        <w:jc w:val="both"/>
      </w:pPr>
      <w:r>
        <w:rPr/>
        <w:t xml:space="preserve">1. Ms Dhu, an Aboriginal woman, died in police custody in Western Australia due to institutional and structural racism.</w:t>
      </w:r>
    </w:p>
    <w:p>
      <w:pPr>
        <w:jc w:val="both"/>
      </w:pPr>
      <w:r>
        <w:rPr/>
        <w:t xml:space="preserve">2. The coronial inquiry failed to account for the ways in which state power and possessive sovereignty is invested in the deaths of Indigenous peoples.</w:t>
      </w:r>
    </w:p>
    <w:p>
      <w:pPr>
        <w:jc w:val="both"/>
      </w:pPr>
      <w:r>
        <w:rPr/>
        <w:t xml:space="preserve">3. Attempts to memorialize Ms Dhu in public spaces carry a promise of justice through their ability to challenge the settler-colonial logic that made possible her suffering and lack of accountability for her death.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"Justice for Ms Dhu: Accounting for Indigenous Deaths in Custody in Australia" by Pauline Klippmark and Karen Crawley provides a detailed analysis of the death of an Aboriginal woman, Ms Dhu, while in police custody. The authors argue that her death is a result of institutional and structural racism endemic to the Australian settler state. They also examine attempts to hold state agencies accountable for their violence against indigenous peoples.</w:t>
      </w:r>
    </w:p>
    <w:p>
      <w:pPr>
        <w:jc w:val="both"/>
      </w:pPr>
      <w:r>
        <w:rPr/>
        <w:t xml:space="preserve"/>
      </w:r>
    </w:p>
    <w:p>
      <w:pPr>
        <w:jc w:val="both"/>
      </w:pPr>
      <w:r>
        <w:rPr/>
        <w:t xml:space="preserve">The article provides a comprehensive overview of Ms Dhu's case, including her arrest for unpaid fines, her deteriorating health while in custody, and the failure of both police officers and medical professionals to provide adequate care. The authors highlight the intersectional nature of Ms Dhu's experience, as she faced violence linked to both her race and gender.</w:t>
      </w:r>
    </w:p>
    <w:p>
      <w:pPr>
        <w:jc w:val="both"/>
      </w:pPr>
      <w:r>
        <w:rPr/>
        <w:t xml:space="preserve"/>
      </w:r>
    </w:p>
    <w:p>
      <w:pPr>
        <w:jc w:val="both"/>
      </w:pPr>
      <w:r>
        <w:rPr/>
        <w:t xml:space="preserve">However, the article does not provide a balanced perspective on the issue. It presents only one side of the argument, focusing solely on the failures of state agencies and neglecting any potential counterarguments or explanations for why these failures occurred. Additionally, some claims made in the article are unsupported or lack evidence.</w:t>
      </w:r>
    </w:p>
    <w:p>
      <w:pPr>
        <w:jc w:val="both"/>
      </w:pPr>
      <w:r>
        <w:rPr/>
        <w:t xml:space="preserve"/>
      </w:r>
    </w:p>
    <w:p>
      <w:pPr>
        <w:jc w:val="both"/>
      </w:pPr>
      <w:r>
        <w:rPr/>
        <w:t xml:space="preserve">Furthermore, while the authors acknowledge international interest in Australia's treatment of vulnerable detained populations such as children and refugees in offshore detention centers, they do not explore how this may be related to Ms Dhu's case or provide any evidence linking these issues.</w:t>
      </w:r>
    </w:p>
    <w:p>
      <w:pPr>
        <w:jc w:val="both"/>
      </w:pPr>
      <w:r>
        <w:rPr/>
        <w:t xml:space="preserve"/>
      </w:r>
    </w:p>
    <w:p>
      <w:pPr>
        <w:jc w:val="both"/>
      </w:pPr>
      <w:r>
        <w:rPr/>
        <w:t xml:space="preserve">Overall, while the article provides valuable insights into institutional racism and its impact on indigenous peoples in Australia, it would benefit from a more balanced perspective that considers all sides of the issue.</w:t>
      </w:r>
    </w:p>
    <w:p>
      <w:pPr>
        <w:pStyle w:val="Heading1"/>
      </w:pPr>
      <w:bookmarkStart w:id="5" w:name="_Toc5"/>
      <w:r>
        <w:t>Topics for further research:</w:t>
      </w:r>
      <w:bookmarkEnd w:id="5"/>
    </w:p>
    <w:p>
      <w:pPr>
        <w:spacing w:after="0"/>
        <w:numPr>
          <w:ilvl w:val="0"/>
          <w:numId w:val="2"/>
        </w:numPr>
      </w:pPr>
      <w:r>
        <w:rPr/>
        <w:t xml:space="preserve">Counterarguments to institutional racism in Australia
</w:t>
      </w:r>
    </w:p>
    <w:p>
      <w:pPr>
        <w:spacing w:after="0"/>
        <w:numPr>
          <w:ilvl w:val="0"/>
          <w:numId w:val="2"/>
        </w:numPr>
      </w:pPr>
      <w:r>
        <w:rPr/>
        <w:t xml:space="preserve">Possible explanations for failures in state agencies in Ms Dhu's case
</w:t>
      </w:r>
    </w:p>
    <w:p>
      <w:pPr>
        <w:spacing w:after="0"/>
        <w:numPr>
          <w:ilvl w:val="0"/>
          <w:numId w:val="2"/>
        </w:numPr>
      </w:pPr>
      <w:r>
        <w:rPr/>
        <w:t xml:space="preserve">Criticisms of the international interest in Australia's treatment of detained populations
</w:t>
      </w:r>
    </w:p>
    <w:p>
      <w:pPr>
        <w:spacing w:after="0"/>
        <w:numPr>
          <w:ilvl w:val="0"/>
          <w:numId w:val="2"/>
        </w:numPr>
      </w:pPr>
      <w:r>
        <w:rPr/>
        <w:t xml:space="preserve">Intersectionality of race and gender in indigenous experiences of violence
</w:t>
      </w:r>
    </w:p>
    <w:p>
      <w:pPr>
        <w:spacing w:after="0"/>
        <w:numPr>
          <w:ilvl w:val="0"/>
          <w:numId w:val="2"/>
        </w:numPr>
      </w:pPr>
      <w:r>
        <w:rPr/>
        <w:t xml:space="preserve">Indigenous perspectives on deaths in custody in Australia
</w:t>
      </w:r>
    </w:p>
    <w:p>
      <w:pPr>
        <w:numPr>
          <w:ilvl w:val="0"/>
          <w:numId w:val="2"/>
        </w:numPr>
      </w:pPr>
      <w:r>
        <w:rPr/>
        <w:t xml:space="preserve">Historical context of institutional racism in the Australian settler state</w:t>
      </w:r>
    </w:p>
    <w:p>
      <w:pPr>
        <w:pStyle w:val="Heading1"/>
      </w:pPr>
      <w:bookmarkStart w:id="6" w:name="_Toc6"/>
      <w:r>
        <w:t>Report location:</w:t>
      </w:r>
      <w:bookmarkEnd w:id="6"/>
    </w:p>
    <w:p>
      <w:hyperlink r:id="rId8" w:history="1">
        <w:r>
          <w:rPr>
            <w:color w:val="2980b9"/>
            <w:u w:val="single"/>
          </w:rPr>
          <w:t xml:space="preserve">https://www.fullpicture.app/item/e224cf48cfa58a43c831435b3a5c0f15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67B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ezproxy.csu.edu.au/doi/10.1177/0964663917734415" TargetMode="External"/><Relationship Id="rId8" Type="http://schemas.openxmlformats.org/officeDocument/2006/relationships/hyperlink" Target="https://www.fullpicture.app/item/e224cf48cfa58a43c831435b3a5c0f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2023-12-11T04:09:51+01:00</dcterms:created>
  <dcterms:modified xsi:type="dcterms:W3CDTF">2023-12-11T04:09:51+01:00</dcterms:modified>
</cp:coreProperties>
</file>

<file path=docProps/custom.xml><?xml version="1.0" encoding="utf-8"?>
<Properties xmlns="http://schemas.openxmlformats.org/officeDocument/2006/custom-properties" xmlns:vt="http://schemas.openxmlformats.org/officeDocument/2006/docPropsVTypes"/>
</file>