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transformative potential of counter accounts: a case study of animal rights activism | Emerald Insight</w:t>
      </w:r>
      <w:br/>
      <w:hyperlink r:id="rId7" w:history="1">
        <w:r>
          <w:rPr>
            <w:color w:val="2980b9"/>
            <w:u w:val="single"/>
          </w:rPr>
          <w:t xml:space="preserve">https://www-emerald-com.ezproxy.lib.gla.ac.uk/insight/content/doi/10.1108/AAAJ-12-2015-2324/full/html</w:t>
        </w:r>
      </w:hyperlink>
    </w:p>
    <w:p>
      <w:pPr>
        <w:pStyle w:val="Heading1"/>
      </w:pPr>
      <w:bookmarkStart w:id="2" w:name="_Toc2"/>
      <w:r>
        <w:t>Article summary:</w:t>
      </w:r>
      <w:bookmarkEnd w:id="2"/>
    </w:p>
    <w:p>
      <w:pPr>
        <w:jc w:val="both"/>
      </w:pPr>
      <w:r>
        <w:rPr/>
        <w:t xml:space="preserve">1. 本文分析了反账目的动态和变革潜力，探讨了反账目者试图重新表述动物生产时如何在冲突环境中构建自身身份，并且这种身份与反账目的变革潜力之间的关系。</w:t>
      </w:r>
    </w:p>
    <w:p>
      <w:pPr>
        <w:jc w:val="both"/>
      </w:pPr>
      <w:r>
        <w:rPr/>
        <w:t xml:space="preserve">2. 研究了芬兰动物权利活动家对工业肉类和乳制品生产展开的运动中发布的反账目。这些反账目由猪场秘密拍摄的视频组成，与官方描述的动物饲养方式形成对比，并在数年内得到广泛传播。</w:t>
      </w:r>
    </w:p>
    <w:p>
      <w:pPr>
        <w:jc w:val="both"/>
      </w:pPr>
      <w:r>
        <w:rPr/>
        <w:t xml:space="preserve">3. 反账目在一定程度上成功地重新表述了动物生产的含义，可能导致小规模社会效应出现。然而，主导社会群体试图否定反账目者的激进政治要求时，不仅驳斥了反账目，还试图将其身份构建为不负责任、好战和疏忽大意，从而在“我们”和“他们”之间划定明确的政治界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探讨了反账目在动态冲突环境中的作用和转化潜力，以芬兰动物权利活动家对工业肉类和乳制品生产的抗议为例进行了分析。文章认为反账目在一定程度上成功地重新定义了动物生产的意义，并可能导致小规模社会效应的出现。然而，主导社会群体试图否定反账目，并试图将反账目者的身份构建为不负责任、好斗和疏忽大意，从而在“我们”与“他们”之间划定了明确的政治界限。同时，反账目者似乎不愿意与主导政权代表沟通，导致两个政治团体之间形成对抗性关系。</w:t>
      </w:r>
    </w:p>
    <w:p>
      <w:pPr>
        <w:jc w:val="both"/>
      </w:pPr>
      <w:r>
        <w:rPr/>
        <w:t xml:space="preserve"/>
      </w:r>
    </w:p>
    <w:p>
      <w:pPr>
        <w:jc w:val="both"/>
      </w:pPr>
      <w:r>
        <w:rPr/>
        <w:t xml:space="preserve">该文章提供了有关设计、使用和接受反账目的见解，并使用话语理论来强调，在探索反账目的转化潜力时，有必要考虑如何构建和理解反账目者的身份。此外，该文章还通过调查一个伦理和环境争议领域来推进会计研究与重大全球问题之间的联系，并探讨在社会生态变革背景下帐户和问责制之间的相互关系。</w:t>
      </w:r>
    </w:p>
    <w:p>
      <w:pPr>
        <w:jc w:val="both"/>
      </w:pPr>
      <w:r>
        <w:rPr/>
        <w:t xml:space="preserve"/>
      </w:r>
    </w:p>
    <w:p>
      <w:pPr>
        <w:jc w:val="both"/>
      </w:pPr>
      <w:r>
        <w:rPr/>
        <w:t xml:space="preserve">然而，该文章存在一些偏见和不足之处。首先，文章似乎偏袒反账目者，没有平等地呈现双方的观点和立场。其次，文章未探讨反账目可能带来的风险和负面影响，例如侵犯他人隐私、误导公众或激化冲突等。此外，文章提出了一些主张，但缺乏充分的证据支持，并未探索可能的反驳和替代解释。最后，该文章忽略了一些重要的考虑点，例如动物权利与人类利益之间的平衡、工业肉类生产对经济和社会发展的贡献等。</w:t>
      </w:r>
    </w:p>
    <w:p>
      <w:pPr>
        <w:jc w:val="both"/>
      </w:pPr>
      <w:r>
        <w:rPr/>
        <w:t xml:space="preserve"/>
      </w:r>
    </w:p>
    <w:p>
      <w:pPr>
        <w:jc w:val="both"/>
      </w:pPr>
      <w:r>
        <w:rPr/>
        <w:t xml:space="preserve">因此，在评价该文章时需要注意其潜在偏见及其来源，并对其片面报道、无根据的主张、缺失的考虑点、所提出主张的缺失证据、未探索的反驳、宣传内容进行批判性分析。同时，需要更加全面地考虑动物权利问题与人类利益之间的平衡，并注意到可能存在的风险和负面影响。</w:t>
      </w:r>
    </w:p>
    <w:p>
      <w:pPr>
        <w:pStyle w:val="Heading1"/>
      </w:pPr>
      <w:bookmarkStart w:id="5" w:name="_Toc5"/>
      <w:r>
        <w:t>Topics for further research:</w:t>
      </w:r>
      <w:bookmarkEnd w:id="5"/>
    </w:p>
    <w:p>
      <w:pPr>
        <w:spacing w:after="0"/>
        <w:numPr>
          <w:ilvl w:val="0"/>
          <w:numId w:val="2"/>
        </w:numPr>
      </w:pPr>
      <w:r>
        <w:rPr/>
        <w:t xml:space="preserve">Balancing animal rights and human interests
</w:t>
      </w:r>
    </w:p>
    <w:p>
      <w:pPr>
        <w:spacing w:after="0"/>
        <w:numPr>
          <w:ilvl w:val="0"/>
          <w:numId w:val="2"/>
        </w:numPr>
      </w:pPr>
      <w:r>
        <w:rPr/>
        <w:t xml:space="preserve">Risks and negative impacts of counter-accounting
</w:t>
      </w:r>
    </w:p>
    <w:p>
      <w:pPr>
        <w:spacing w:after="0"/>
        <w:numPr>
          <w:ilvl w:val="0"/>
          <w:numId w:val="2"/>
        </w:numPr>
      </w:pPr>
      <w:r>
        <w:rPr/>
        <w:t xml:space="preserve">Alternative explanations and counterarguments
</w:t>
      </w:r>
    </w:p>
    <w:p>
      <w:pPr>
        <w:spacing w:after="0"/>
        <w:numPr>
          <w:ilvl w:val="0"/>
          <w:numId w:val="2"/>
        </w:numPr>
      </w:pPr>
      <w:r>
        <w:rPr/>
        <w:t xml:space="preserve">Consideration of both sides' perspectives
</w:t>
      </w:r>
    </w:p>
    <w:p>
      <w:pPr>
        <w:spacing w:after="0"/>
        <w:numPr>
          <w:ilvl w:val="0"/>
          <w:numId w:val="2"/>
        </w:numPr>
      </w:pPr>
      <w:r>
        <w:rPr/>
        <w:t xml:space="preserve">Evidence to support claims
</w:t>
      </w:r>
    </w:p>
    <w:p>
      <w:pPr>
        <w:numPr>
          <w:ilvl w:val="0"/>
          <w:numId w:val="2"/>
        </w:numPr>
      </w:pPr>
      <w:r>
        <w:rPr/>
        <w:t xml:space="preserve">Ethical and economic contributions of industrial meat production</w:t>
      </w:r>
    </w:p>
    <w:p>
      <w:pPr>
        <w:pStyle w:val="Heading1"/>
      </w:pPr>
      <w:bookmarkStart w:id="6" w:name="_Toc6"/>
      <w:r>
        <w:t>Report location:</w:t>
      </w:r>
      <w:bookmarkEnd w:id="6"/>
    </w:p>
    <w:p>
      <w:hyperlink r:id="rId8" w:history="1">
        <w:r>
          <w:rPr>
            <w:color w:val="2980b9"/>
            <w:u w:val="single"/>
          </w:rPr>
          <w:t xml:space="preserve">https://www.fullpicture.app/item/e3107d29b36d188e8cd5e4d8df31da09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24D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ezproxy.lib.gla.ac.uk/insight/content/doi/10.1108/AAAJ-12-2015-2324/full/html" TargetMode="External"/><Relationship Id="rId8" Type="http://schemas.openxmlformats.org/officeDocument/2006/relationships/hyperlink" Target="https://www.fullpicture.app/item/e3107d29b36d188e8cd5e4d8df31da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2023-05-16T14:01:35+02:00</dcterms:created>
  <dcterms:modified xsi:type="dcterms:W3CDTF">2023-05-16T14:01:35+02:00</dcterms:modified>
</cp:coreProperties>
</file>

<file path=docProps/custom.xml><?xml version="1.0" encoding="utf-8"?>
<Properties xmlns="http://schemas.openxmlformats.org/officeDocument/2006/custom-properties" xmlns:vt="http://schemas.openxmlformats.org/officeDocument/2006/docPropsVTypes"/>
</file>