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ERIC - EJ1319220 - Language and Education Policies Based on National/Plurilingual Identity in Autonomous Republics: A Case Study of the Gagauzia Autonomous Region, Education Quarterly Reviews, 2021</w:t></w:r><w:br/><w:hyperlink r:id="rId7" w:history="1"><w:r><w:rPr><w:color w:val="2980b9"/><w:u w:val="single"/></w:rPr><w:t xml:space="preserve">https://eric.ed.gov/?q=+basic+education+in+border+regions&id=EJ1319220</w:t></w:r></w:hyperlink></w:p><w:p><w:pPr><w:pStyle w:val="Heading1"/></w:pPr><w:bookmarkStart w:id="2" w:name="_Toc2"/><w:r><w:t>Article summary:</w:t></w:r><w:bookmarkEnd w:id="2"/></w:p><w:p><w:pPr><w:jc w:val="both"/></w:pPr><w:r><w:rPr/><w:t xml:space="preserve">1. 本文研究了摩尔多瓦加高地自治区的语言和教育政策。加高地自治区是一个具有自治权的自治共和国，其语言和教育政策既基于民族身份，也基于多语言特点。</w:t></w:r></w:p><w:p><w:pPr><w:jc w:val="both"/></w:pPr><w:r><w:rPr/><w:t xml:space="preserve">2. 自治共和国的语言和教育政策与建立新的政治联盟和民族认同有关。这些政策涉及到国家标志、国家语言、国家文化和国家教育等方面。</w:t></w:r></w:p><w:p><w:pPr><w:jc w:val="both"/></w:pPr><w:r><w:rPr/><w:t xml:space="preserve">3. 加高地自治区的历史经历了从奥斯曼帝国到俄罗斯帝国再到苏联的多个时期。现在它位于摩尔多瓦共和国境内，并享有自治权。本文旨在分析摩尔多瓦对加高土耳其人制定和实施的语言和教育政策。</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对于上述文章的详细批判性分析，以下是一些可能的观点和问题：</w:t></w:r></w:p><w:p><w:pPr><w:jc w:val="both"/></w:pPr><w:r><w:rPr/><w:t xml:space="preserve"></w:t></w:r></w:p><w:p><w:pPr><w:jc w:val="both"/></w:pPr><w:r><w:rPr/><w:t xml:space="preserve">1. 偏见及其来源：文章似乎偏向支持Gagauzia自治区的语言和教育政策。这种偏见可能源自作者对该地区历史和文化的个人兴趣或立场。</w:t></w:r></w:p><w:p><w:pPr><w:jc w:val="both"/></w:pPr><w:r><w:rPr/><w:t xml:space="preserve"></w:t></w:r></w:p><w:p><w:pPr><w:jc w:val="both"/></w:pPr><w:r><w:rPr/><w:t xml:space="preserve">2. 片面报道：文章没有提供关于Gagauzia自治区存在争议或争议的其他观点。它只呈现了一方面的情况，缺乏全面性。</w:t></w:r></w:p><w:p><w:pPr><w:jc w:val="both"/></w:pPr><w:r><w:rPr/><w:t xml:space="preserve"></w:t></w:r></w:p><w:p><w:pPr><w:jc w:val="both"/></w:pPr><w:r><w:rPr/><w:t xml:space="preserve">3. 无根据的主张：文章声称Gagauzia自治区的语言和教育政策与国家/多语言身份有关，但没有提供足够的证据来支持这一主张。缺乏相关研究或数据来支持作者所提出的论点。</w:t></w:r></w:p><w:p><w:pPr><w:jc w:val="both"/></w:pPr><w:r><w:rPr/><w:t xml:space="preserve"></w:t></w:r></w:p><w:p><w:pPr><w:jc w:val="both"/></w:pPr><w:r><w:rPr/><w:t xml:space="preserve">4. 缺失的考虑点：文章没有探讨其他因素如经济、社会和政治因素对Gagauzia自治区语言和教育政策制定和实施的影响。这种局限性可能导致对问题理解不全面。</w:t></w:r></w:p><w:p><w:pPr><w:jc w:val="both"/></w:pPr><w:r><w:rPr/><w:t xml:space="preserve"></w:t></w:r></w:p><w:p><w:pPr><w:jc w:val="both"/></w:pPr><w:r><w:rPr/><w:t xml:space="preserve">5. 所提出主张的缺失证据：文章没有引用任何具体案例、调查或研究来支持其关于Gagauzia自治区语言和教育政策的主张。这使得读者难以验证作者的论点。</w:t></w:r></w:p><w:p><w:pPr><w:jc w:val="both"/></w:pPr><w:r><w:rPr/><w:t xml:space="preserve"></w:t></w:r></w:p><w:p><w:pPr><w:jc w:val="both"/></w:pPr><w:r><w:rPr/><w:t xml:space="preserve">6. 未探索的反驳：文章没有提及可能存在的反对Gagauzia自治区语言和教育政策的观点或争议。这种缺乏平衡性可能导致读者对问题的理解不完整。</w:t></w:r></w:p><w:p><w:pPr><w:jc w:val="both"/></w:pPr><w:r><w:rPr/><w:t xml:space="preserve"></w:t></w:r></w:p><w:p><w:pPr><w:jc w:val="both"/></w:pPr><w:r><w:rPr/><w:t xml:space="preserve">7. 宣传内容：文章似乎试图宣传Gagauzia自治区的语言和教育政策，而不是提供客观、中立的分析。这种宣传性质可能影响读者对问题的看法。</w:t></w:r></w:p><w:p><w:pPr><w:jc w:val="both"/></w:pPr><w:r><w:rPr/><w:t xml:space="preserve"></w:t></w:r></w:p><w:p><w:pPr><w:jc w:val="both"/></w:pPr><w:r><w:rPr/><w:t xml:space="preserve">8. 偏袒：文章没有平等地呈现双方观点或利益相关者的声音。这种偏袒可能导致读者对问题产生误导或片面的理解。</w:t></w:r></w:p><w:p><w:pPr><w:jc w:val="both"/></w:pPr><w:r><w:rPr/><w:t xml:space="preserve"></w:t></w:r></w:p><w:p><w:pPr><w:jc w:val="both"/></w:pPr><w:r><w:rPr/><w:t xml:space="preserve">9. 是否注意到可能的风险：文章没有讨论Gagauzia自治区语言和教育政策可能带来的潜在风险或挑战。这种缺失使得读者无法全面了解该政策背后可能存在的问题。</w:t></w:r></w:p><w:p><w:pPr><w:jc w:val="both"/></w:pPr><w:r><w:rPr/><w:t xml:space="preserve"></w:t></w:r></w:p><w:p><w:pPr><w:jc w:val="both"/></w:pPr><w:r><w:rPr/><w:t xml:space="preserve">总体而言，上述文章在关于Gagauzia自治区语言和教育政策的描述和分析中存在一些偏见、片面报道、无根据主张、缺失考虑点以及缺乏证据支持等问题。为了提供更全面、客观和准确的信息，需要进一步研究和深入分析。</w:t></w:r></w:p><w:p><w:pPr><w:pStyle w:val="Heading1"/></w:pPr><w:bookmarkStart w:id="5" w:name="_Toc5"/><w:r><w:t>Topics for further research:</w:t></w:r><w:bookmarkEnd w:id="5"/></w:p><w:p><w:pPr><w:spacing w:after="0"/><w:numPr><w:ilvl w:val="0"/><w:numId w:val="2"/></w:numPr></w:pPr><w:r><w:rPr/><w:t xml:space="preserve">Gagauzia自治区的历史和文化背景
</w:t></w:r></w:p><w:p><w:pPr><w:spacing w:after="0"/><w:numPr><w:ilvl w:val="0"/><w:numId w:val="2"/></w:numPr></w:pPr><w:r><w:rPr/><w:t xml:space="preserve">Gagauzia自治区的争议和争议观点
</w:t></w:r></w:p><w:p><w:pPr><w:spacing w:after="0"/><w:numPr><w:ilvl w:val="0"/><w:numId w:val="2"/></w:numPr></w:pPr><w:r><w:rPr/><w:t xml:space="preserve">Gagauzia自治区语言和教育政策的国家/多语言身份关联的证据
</w:t></w:r></w:p><w:p><w:pPr><w:spacing w:after="0"/><w:numPr><w:ilvl w:val="0"/><w:numId w:val="2"/></w:numPr></w:pPr><w:r><w:rPr/><w:t xml:space="preserve">经济、社会和政治因素对Gagauzia自治区语言和教育政策的影响
</w:t></w:r></w:p><w:p><w:pPr><w:spacing w:after="0"/><w:numPr><w:ilvl w:val="0"/><w:numId w:val="2"/></w:numPr></w:pPr><w:r><w:rPr/><w:t xml:space="preserve">Gagauzia自治区语言和教育政策的具体案例、调查或研究
</w:t></w:r></w:p><w:p><w:pPr><w:numPr><w:ilvl w:val="0"/><w:numId w:val="2"/></w:numPr></w:pPr><w:r><w:rPr/><w:t xml:space="preserve">反对Gagauzia自治区语言和教育政策的观点或争议</w:t></w:r></w:p><w:p><w:pPr><w:pStyle w:val="Heading1"/></w:pPr><w:bookmarkStart w:id="6" w:name="_Toc6"/><w:r><w:t>Report location:</w:t></w:r><w:bookmarkEnd w:id="6"/></w:p><w:p><w:hyperlink r:id="rId8" w:history="1"><w:r><w:rPr><w:color w:val="2980b9"/><w:u w:val="single"/></w:rPr><w:t xml:space="preserve">https://www.fullpicture.app/item/e31dcdb7d6889a35dcf61461f1deefe5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3D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ic.ed.gov/?q=+basic+education+in+border+regions&amp;id=EJ1319220" TargetMode="External"/><Relationship Id="rId8" Type="http://schemas.openxmlformats.org/officeDocument/2006/relationships/hyperlink" Target="https://www.fullpicture.app/item/e31dcdb7d6889a35dcf61461f1deef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2023-12-14T01:07:53+01:00</dcterms:created>
  <dcterms:modified xsi:type="dcterms:W3CDTF">2023-12-14T01:07:53+01:00</dcterms:modified>
</cp:coreProperties>
</file>

<file path=docProps/custom.xml><?xml version="1.0" encoding="utf-8"?>
<Properties xmlns="http://schemas.openxmlformats.org/officeDocument/2006/custom-properties" xmlns:vt="http://schemas.openxmlformats.org/officeDocument/2006/docPropsVTypes"/>
</file>