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VV116 versus Nirmatrelvir–Ritonavir for Oral Treatment of Covid-19 | NEJM</w:t></w:r><w:br/><w:hyperlink r:id="rId7" w:history="1"><w:r><w:rPr><w:color w:val="2980b9"/><w:u w:val="single"/></w:rPr><w:t xml:space="preserve">https://www.nejm.org/doi/10.1056/NEJMoa2208822?url_ver=Z39.88-2003&rfr_id=ori:rid:crossref.org&rfr_dat=cr_pub%20%200pubmed</w:t></w:r></w:hyperlink></w:p><w:p><w:pPr><w:pStyle w:val="Heading1"/></w:pPr><w:bookmarkStart w:id="2" w:name="_Toc2"/><w:r><w:t>Article summary:</w:t></w:r><w:bookmarkEnd w:id="2"/></w:p><w:p><w:pPr><w:jc w:val="both"/></w:pPr><w:r><w:rPr/><w:t xml:space="preserve">1. VV116 is an oral antiviral agent with potent activity against SARS-CoV-2.</w:t></w:r></w:p><w:p><w:pPr><w:jc w:val="both"/></w:pPr><w:r><w:rPr/><w:t xml:space="preserve">2. A phase 3 trial was conducted to compare the efficacy of VV116 and nirmatrelvir–ritonavir for treating mild-to-moderate Covid-19 in adults at high risk of progression.</w:t></w:r></w:p><w:p><w:pPr><w:jc w:val="both"/></w:pPr><w:r><w:rPr/><w:t xml:space="preserve">3. The results showed that VV116 was noninferior to nirmatrelvir–ritonavir with respect to time to sustained clinical recovery, and had fewer safety concerns.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study design, methods, results, and conclusions. The authors have provided sufficient evidence for their claims and have presented both sides of the argument fairly. However, there are some potential biases that should be noted. For example, the study was funded by Vigonvita Life Sciences, which may have influenced the results in favor of VV116 over nirmatrelvir–ritonavir. Additionally, the study did not include participants from all age groups or those with severe Covid-19; thus, its findings may not be applicable to these populations. Furthermore, the article does not discuss any possible risks associated with taking either drug or any long-term effects on health outcomes. In conclusion, while this article is generally reliable and trustworthy, it should be read with caution due to potential biases and lack of information on certain aspects of the study.</w:t></w:r></w:p><w:p><w:pPr><w:pStyle w:val="Heading1"/></w:pPr><w:bookmarkStart w:id="5" w:name="_Toc5"/><w:r><w:t>Topics for further research:</w:t></w:r><w:bookmarkEnd w:id="5"/></w:p><w:p><w:pPr><w:spacing w:after="0"/><w:numPr><w:ilvl w:val="0"/><w:numId w:val="2"/></w:numPr></w:pPr><w:r><w:rPr/><w:t xml:space="preserve">Covid-19 long-term effects</w:t></w:r></w:p><w:p><w:pPr><w:spacing w:after="0"/><w:numPr><w:ilvl w:val="0"/><w:numId w:val="2"/></w:numPr></w:pPr><w:r><w:rPr/><w:t xml:space="preserve">Risks associated with VV116</w:t></w:r></w:p><w:p><w:pPr><w:spacing w:after="0"/><w:numPr><w:ilvl w:val="0"/><w:numId w:val="2"/></w:numPr></w:pPr><w:r><w:rPr/><w:t xml:space="preserve">Risks associated with nirmatrelvir–ritonavir</w:t></w:r></w:p><w:p><w:pPr><w:spacing w:after="0"/><w:numPr><w:ilvl w:val="0"/><w:numId w:val="2"/></w:numPr></w:pPr><w:r><w:rPr/><w:t xml:space="preserve">Covid-19 in different age groups</w:t></w:r></w:p><w:p><w:pPr><w:spacing w:after="0"/><w:numPr><w:ilvl w:val="0"/><w:numId w:val="2"/></w:numPr></w:pPr><w:r><w:rPr/><w:t xml:space="preserve">Vigonvita Life Sciences funding</w:t></w:r></w:p><w:p><w:pPr><w:numPr><w:ilvl w:val="0"/><w:numId w:val="2"/></w:numPr></w:pPr><w:r><w:rPr/><w:t xml:space="preserve">Impact of Covid-19 on severe cases</w:t></w:r></w:p><w:p><w:pPr><w:pStyle w:val="Heading1"/></w:pPr><w:bookmarkStart w:id="6" w:name="_Toc6"/><w:r><w:t>Report location:</w:t></w:r><w:bookmarkEnd w:id="6"/></w:p><w:p><w:hyperlink r:id="rId8" w:history="1"><w:r><w:rPr><w:color w:val="2980b9"/><w:u w:val="single"/></w:rPr><w:t xml:space="preserve">https://www.fullpicture.app/item/e50c2aa2cd8e2f3c3d2c10f2031acaee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C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2208822?url_ver=Z39.88-2003&amp;rfr_id=ori:rid:crossref.org&amp;rfr_dat=cr_pub%20%200pubmed" TargetMode="External"/><Relationship Id="rId8" Type="http://schemas.openxmlformats.org/officeDocument/2006/relationships/hyperlink" Target="https://www.fullpicture.app/item/e50c2aa2cd8e2f3c3d2c10f2031aca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2023-02-22T00:21:55+01:00</dcterms:created>
  <dcterms:modified xsi:type="dcterms:W3CDTF">2023-02-22T00:21:55+01:00</dcterms:modified>
</cp:coreProperties>
</file>

<file path=docProps/custom.xml><?xml version="1.0" encoding="utf-8"?>
<Properties xmlns="http://schemas.openxmlformats.org/officeDocument/2006/custom-properties" xmlns:vt="http://schemas.openxmlformats.org/officeDocument/2006/docPropsVTypes"/>
</file>