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eHealth interventions targeting nutrition, physical activity, sedentary behavior, or obesity in adults: A scoping review of systematic reviews. Obesity Reviews, 22(10) | 10.1111/obr.13295</w:t>
      </w:r>
      <w:br/>
      <w:hyperlink r:id="rId7" w:history="1">
        <w:r>
          <w:rPr>
            <w:color w:val="2980b9"/>
            <w:u w:val="single"/>
          </w:rPr>
          <w:t xml:space="preserve">https://sci-hub.se/10.1111/obr.13295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该研究是一项关于电子健康干预措施的综述，重点关注成年人的营养、体育活动、久坐行为或肥胖问题。</w:t>
      </w:r>
    </w:p>
    <w:p>
      <w:pPr>
        <w:jc w:val="both"/>
      </w:pPr>
      <w:r>
        <w:rPr/>
        <w:t xml:space="preserve">2. 研究发现电子健康干预措施在改善成年人的营养、体育活动、久坐行为或肥胖方面具有潜力。</w:t>
      </w:r>
    </w:p>
    <w:p>
      <w:pPr>
        <w:jc w:val="both"/>
      </w:pPr>
      <w:r>
        <w:rPr/>
        <w:t xml:space="preserve">3. 这项研究对系统综述进行了范围性回顾，旨在提供有关电子健康干预措施在成年人中应用的综合信息。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潜在偏见及其来源：文章没有提供作者的背景信息或潜在利益冲突声明。这可能导致读者对作者的立场和动机产生怀疑，并且可能存在潜在的偏见。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片面报道：文章只关注了eHealth干预措施对营养、体育锻炼、久坐行为或肥胖症等方面的影响，而忽略了其他可能与这些因素相关的因素。这种片面报道可能导致读者对整个问题的理解不完整。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无根据的主张：文章没有提供足够的证据来支持其所提出的主张。例如，它没有引用具体研究结果或数据来支持eHealth干预措施在改善营养、体育锻炼、久坐行为或肥胖症方面的有效性。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缺失的考虑点：文章没有讨论eHealth干预措施可能存在的局限性或负面影响。例如，它没有涉及到隐私保护问题、技术可访问性差异以及个人自主权受限等方面。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所提出主张的缺失证据：文章没有提供足够的证据来支持其所提出的主张。它没有引用相关研究或数据来支持eHealth干预措施在改善营养、体育锻炼、久坐行为或肥胖症方面的有效性。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未探索的反驳：文章没有探讨可能存在的反对意见或争议观点。这种未探索的反驳可能导致读者对问题的全面性和复杂性产生误解。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宣传内容：文章中是否存在宣传内容或倾向，以及是否有特定利益集团或组织背后的影响，需要进一步审查。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是否注意到可能的风险：文章似乎没有充分讨论eHealth干预措施可能带来的潜在风险。这包括技术故障、信息安全问题以及对个人自主权和隐私权的侵犯等方面。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没有平等地呈现双方：文章似乎只关注了eHealth干预措施的积极方面，而忽略了可能存在的负面影响或争议观点。这种不平等地呈现双方可能导致读者对问题产生误导。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总体而言，上述文章在提供全面、客观和有根据的信息方面存在一些不足之处。读者应该保持批判思维，并寻找更多来源以获取更全面的了解。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作者背景信息和潜在利益冲突声明
</w:t>
      </w:r>
    </w:p>
    <w:p>
      <w:pPr>
        <w:spacing w:after="0"/>
        <w:numPr>
          <w:ilvl w:val="0"/>
          <w:numId w:val="2"/>
        </w:numPr>
      </w:pPr>
      <w:r>
        <w:rPr/>
        <w:t xml:space="preserve">其他与营养、体育锻炼、久坐行为或肥胖症相关的因素
</w:t>
      </w:r>
    </w:p>
    <w:p>
      <w:pPr>
        <w:spacing w:after="0"/>
        <w:numPr>
          <w:ilvl w:val="0"/>
          <w:numId w:val="2"/>
        </w:numPr>
      </w:pPr>
      <w:r>
        <w:rPr/>
        <w:t xml:space="preserve">eHealth干预措施在改善上述方面的有效性的具体研究结果或数据
</w:t>
      </w:r>
    </w:p>
    <w:p>
      <w:pPr>
        <w:spacing w:after="0"/>
        <w:numPr>
          <w:ilvl w:val="0"/>
          <w:numId w:val="2"/>
        </w:numPr>
      </w:pPr>
      <w:r>
        <w:rPr/>
        <w:t xml:space="preserve">eHealth干预措施可能存在的局限性或负面影响，如隐私保护问题和技术可访问性差异
</w:t>
      </w:r>
    </w:p>
    <w:p>
      <w:pPr>
        <w:spacing w:after="0"/>
        <w:numPr>
          <w:ilvl w:val="0"/>
          <w:numId w:val="2"/>
        </w:numPr>
      </w:pPr>
      <w:r>
        <w:rPr/>
        <w:t xml:space="preserve">eHealth干预措施在改善上述方面的有效性的相关研究或数据
</w:t>
      </w:r>
    </w:p>
    <w:p>
      <w:pPr>
        <w:numPr>
          <w:ilvl w:val="0"/>
          <w:numId w:val="2"/>
        </w:numPr>
      </w:pPr>
      <w:r>
        <w:rPr/>
        <w:t xml:space="preserve">反对意见或争议观点的探讨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https://www.fullpicture.app/item/e81547c3674d8e227925af4137cfbf27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4B0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111/obr.13295" TargetMode="External"/><Relationship Id="rId8" Type="http://schemas.openxmlformats.org/officeDocument/2006/relationships/hyperlink" Target="https://www.fullpicture.app/item/e81547c3674d8e227925af4137cfbf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2024-05-13T06:17:56+02:00</dcterms:created>
  <dcterms:modified xsi:type="dcterms:W3CDTF">2024-05-13T06:17:56+02:00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