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policy uncertainty and mutual fund risk shifting - ScienceDirect</w:t>
      </w:r>
      <w:br/>
      <w:hyperlink r:id="rId7" w:history="1">
        <w:r>
          <w:rPr>
            <w:color w:val="2980b9"/>
            <w:u w:val="single"/>
          </w:rPr>
          <w:t xml:space="preserve">https://vpn.jlu.edu.cn/https/6a6c7576706e6973746865676f6f642146ab1ccab988c2a628982887fb4b0f3fca7e3a30a5/science/article/pii/S0927538X22002165</w:t>
        </w:r>
      </w:hyperlink>
    </w:p>
    <w:p>
      <w:pPr>
        <w:pStyle w:val="Heading1"/>
      </w:pPr>
      <w:bookmarkStart w:id="2" w:name="_Toc2"/>
      <w:r>
        <w:t>Article summary:</w:t>
      </w:r>
      <w:bookmarkEnd w:id="2"/>
    </w:p>
    <w:p>
      <w:pPr>
        <w:jc w:val="both"/>
      </w:pPr>
      <w:r>
        <w:rPr/>
        <w:t xml:space="preserve">1. Mutual fund managers engage in risk-shifting activities due to the asymmetric flow-performance relationship, where investors allocate more money to funds with good past performance and are reluctant to redeem their shares from funds with poor performance.</w:t>
      </w:r>
    </w:p>
    <w:p>
      <w:pPr>
        <w:jc w:val="both"/>
      </w:pPr>
      <w:r>
        <w:rPr/>
        <w:t xml:space="preserve">2. Heterogeneity in mutual fund managers' risk-shifting behavior is largely driven by the tournament in the fund family and variation in managerial characteristics.</w:t>
      </w:r>
    </w:p>
    <w:p>
      <w:pPr>
        <w:jc w:val="both"/>
      </w:pPr>
      <w:r>
        <w:rPr/>
        <w:t xml:space="preserve">3. Macro-level factors, such as economic policy uncertainty, have meaningful implications on credit spreads, stock returns and volatility, as well as managerial attention allocation and fund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该文章主要探讨了经济政策不确定性对共同基金风险转移的影响。然而，该文章存在一些潜在的偏见和局限性。</w:t>
      </w:r>
    </w:p>
    <w:p>
      <w:pPr>
        <w:jc w:val="both"/>
      </w:pPr>
      <w:r>
        <w:rPr/>
        <w:t xml:space="preserve"/>
      </w:r>
    </w:p>
    <w:p>
      <w:pPr>
        <w:jc w:val="both"/>
      </w:pPr>
      <w:r>
        <w:rPr/>
        <w:t xml:space="preserve">首先，该文章忽略了宏观经济因素对共同基金风险转移的影响。共同基金的投资组合通常包括多种资产类别，如股票、债券、商品等。因此，宏观经济因素如通货膨胀率、利率水平、国内生产总值等都会对共同基金的表现产生重要影响。忽略这些因素可能导致作者得出不准确的结论。</w:t>
      </w:r>
    </w:p>
    <w:p>
      <w:pPr>
        <w:jc w:val="both"/>
      </w:pPr>
      <w:r>
        <w:rPr/>
        <w:t xml:space="preserve"/>
      </w:r>
    </w:p>
    <w:p>
      <w:pPr>
        <w:jc w:val="both"/>
      </w:pPr>
      <w:r>
        <w:rPr/>
        <w:t xml:space="preserve">其次，该文章没有考虑到投资者行为对共同基金风险转移的影响。投资者通常会根据过去表现来选择共同基金，并且往往更愿意将资金投入表现良好的基金中。这种行为可能导致基金经理采取更加激进的风险管理策略以追求高回报率，从而增加了风险转移的可能性。</w:t>
      </w:r>
    </w:p>
    <w:p>
      <w:pPr>
        <w:jc w:val="both"/>
      </w:pPr>
      <w:r>
        <w:rPr/>
        <w:t xml:space="preserve"/>
      </w:r>
    </w:p>
    <w:p>
      <w:pPr>
        <w:jc w:val="both"/>
      </w:pPr>
      <w:r>
        <w:rPr/>
        <w:t xml:space="preserve">此外，该文章未提供足够证据支持其主张。虽然文献综述部分引用了一些相关研究结果，但并没有详细说明这些研究如何支持作者的结论。此外，该文章未提供任何实证分析结果来验证其主张。</w:t>
      </w:r>
    </w:p>
    <w:p>
      <w:pPr>
        <w:jc w:val="both"/>
      </w:pPr>
      <w:r>
        <w:rPr/>
        <w:t xml:space="preserve"/>
      </w:r>
    </w:p>
    <w:p>
      <w:pPr>
        <w:jc w:val="both"/>
      </w:pPr>
      <w:r>
        <w:rPr/>
        <w:t xml:space="preserve">最后，该文章可能存在宣传内容和偏袒的问题。文章中提到共同基金在中国财富管理行业中的重要性，但没有提及其他投资工具或策略。此外，该文章未探讨共同基金风险转移可能带来的潜在风险和不利影响。</w:t>
      </w:r>
    </w:p>
    <w:p>
      <w:pPr>
        <w:jc w:val="both"/>
      </w:pPr>
      <w:r>
        <w:rPr/>
        <w:t xml:space="preserve"/>
      </w:r>
    </w:p>
    <w:p>
      <w:pPr>
        <w:jc w:val="both"/>
      </w:pPr>
      <w:r>
        <w:rPr/>
        <w:t xml:space="preserve">综上所述，虽然该文章对共同基金风险转移进行了一定程度的探讨，但存在一些潜在偏见和局限性。为了更全面地理解共同基金风险转移现象，需要考虑更多因素并提供充分证据支持结论。</w:t>
      </w:r>
    </w:p>
    <w:p>
      <w:pPr>
        <w:pStyle w:val="Heading1"/>
      </w:pPr>
      <w:bookmarkStart w:id="5" w:name="_Toc5"/>
      <w:r>
        <w:t>Topics for further research:</w:t>
      </w:r>
      <w:bookmarkEnd w:id="5"/>
    </w:p>
    <w:p>
      <w:pPr>
        <w:spacing w:after="0"/>
        <w:numPr>
          <w:ilvl w:val="0"/>
          <w:numId w:val="2"/>
        </w:numPr>
      </w:pPr>
      <w:r>
        <w:rPr/>
        <w:t xml:space="preserve">Macro-economic factors and their impact on mutual fund risk transfer
</w:t>
      </w:r>
    </w:p>
    <w:p>
      <w:pPr>
        <w:spacing w:after="0"/>
        <w:numPr>
          <w:ilvl w:val="0"/>
          <w:numId w:val="2"/>
        </w:numPr>
      </w:pPr>
      <w:r>
        <w:rPr/>
        <w:t xml:space="preserve">Investor behavior and its influence on mutual fund risk transfer
</w:t>
      </w:r>
    </w:p>
    <w:p>
      <w:pPr>
        <w:spacing w:after="0"/>
        <w:numPr>
          <w:ilvl w:val="0"/>
          <w:numId w:val="2"/>
        </w:numPr>
      </w:pPr>
      <w:r>
        <w:rPr/>
        <w:t xml:space="preserve">Lack of empirical evidence to support the claims made in the article
</w:t>
      </w:r>
    </w:p>
    <w:p>
      <w:pPr>
        <w:spacing w:after="0"/>
        <w:numPr>
          <w:ilvl w:val="0"/>
          <w:numId w:val="2"/>
        </w:numPr>
      </w:pPr>
      <w:r>
        <w:rPr/>
        <w:t xml:space="preserve">Potential biases and favoritism in the article
</w:t>
      </w:r>
    </w:p>
    <w:p>
      <w:pPr>
        <w:spacing w:after="0"/>
        <w:numPr>
          <w:ilvl w:val="0"/>
          <w:numId w:val="2"/>
        </w:numPr>
      </w:pPr>
      <w:r>
        <w:rPr/>
        <w:t xml:space="preserve">Other investment tools and strategies that may impact mutual fund risk transfer
</w:t>
      </w:r>
    </w:p>
    <w:p>
      <w:pPr>
        <w:numPr>
          <w:ilvl w:val="0"/>
          <w:numId w:val="2"/>
        </w:numPr>
      </w:pPr>
      <w:r>
        <w:rPr/>
        <w:t xml:space="preserve">Potential risks and negative impacts of mutual fund risk transfer.</w:t>
      </w:r>
    </w:p>
    <w:p>
      <w:pPr>
        <w:pStyle w:val="Heading1"/>
      </w:pPr>
      <w:bookmarkStart w:id="6" w:name="_Toc6"/>
      <w:r>
        <w:t>Report location:</w:t>
      </w:r>
      <w:bookmarkEnd w:id="6"/>
    </w:p>
    <w:p>
      <w:hyperlink r:id="rId8" w:history="1">
        <w:r>
          <w:rPr>
            <w:color w:val="2980b9"/>
            <w:u w:val="single"/>
          </w:rPr>
          <w:t xml:space="preserve">https://www.fullpicture.app/item/ea2445f8986fdc59c7161b946796259b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81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927538X22002165" TargetMode="External"/><Relationship Id="rId8" Type="http://schemas.openxmlformats.org/officeDocument/2006/relationships/hyperlink" Target="https://www.fullpicture.app/item/ea2445f8986fdc59c7161b94679625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2024-01-11T02:11:59+01:00</dcterms:created>
  <dcterms:modified xsi:type="dcterms:W3CDTF">2024-01-11T02:11:59+01:00</dcterms:modified>
</cp:coreProperties>
</file>

<file path=docProps/custom.xml><?xml version="1.0" encoding="utf-8"?>
<Properties xmlns="http://schemas.openxmlformats.org/officeDocument/2006/custom-properties" xmlns:vt="http://schemas.openxmlformats.org/officeDocument/2006/docPropsVTypes"/>
</file>