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Colombia 11.654 - Merits</w:t>
      </w:r>
      <w:br/>
      <w:hyperlink r:id="rId7" w:history="1">
        <w:r>
          <w:rPr>
            <w:color w:val="2980b9"/>
            <w:u w:val="single"/>
          </w:rPr>
          <w:t xml:space="preserve">http://cidh.org/annualrep/2000eng/chapteriii/merits/colombia11.654.htm</w:t>
        </w:r>
      </w:hyperlink>
    </w:p>
    <w:p>
      <w:pPr>
        <w:pStyle w:val="Heading1"/>
      </w:pPr>
      <w:bookmarkStart w:id="2" w:name="_Toc2"/>
      <w:r>
        <w:t>Article summary:</w:t>
      </w:r>
      <w:bookmarkEnd w:id="2"/>
    </w:p>
    <w:p>
      <w:pPr>
        <w:jc w:val="both"/>
      </w:pPr>
      <w:r>
        <w:rPr/>
        <w:t xml:space="preserve">1. The Inter-American Commission on Human Rights received a petition against the State of Colombia for collaborating in the execution of 13 individuals in the Riofrío Massacre.</w:t>
      </w:r>
    </w:p>
    <w:p>
      <w:pPr>
        <w:jc w:val="both"/>
      </w:pPr>
      <w:r>
        <w:rPr/>
        <w:t xml:space="preserve">2. The petitioners alleged that the State violated the victims' rights to life, humane treatment, and a fair trial established in Articles 4, 5, 8, and 25 of the American Convention on Human Rights.</w:t>
      </w:r>
    </w:p>
    <w:p>
      <w:pPr>
        <w:jc w:val="both"/>
      </w:pPr>
      <w:r>
        <w:rPr/>
        <w:t xml:space="preserve">3. After analyzing the allegations, the Commission found that Colombia was responsible for violating various human rights articles in relation to the massacre.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Riofrío Massacre in Colombia, where members of the army collaborated with armed plain-clothesmen to execute several individuals and cover up the crime. The petitioners allege that the State is responsible for violating various human rights, including the right to life, humane treatment, and a fair trial. The Commission found the State of Colombia responsible for these violations.</w:t>
      </w:r>
    </w:p>
    <w:p>
      <w:pPr>
        <w:jc w:val="both"/>
      </w:pPr>
      <w:r>
        <w:rPr/>
        <w:t xml:space="preserve"/>
      </w:r>
    </w:p>
    <w:p>
      <w:pPr>
        <w:jc w:val="both"/>
      </w:pPr>
      <w:r>
        <w:rPr/>
        <w:t xml:space="preserve">Overall, the article appears to be well-researched and presents a clear account of the events leading up to and following the massacre. However, there are some potential biases and missing points of consideration that should be addressed.</w:t>
      </w:r>
    </w:p>
    <w:p>
      <w:pPr>
        <w:jc w:val="both"/>
      </w:pPr>
      <w:r>
        <w:rPr/>
        <w:t xml:space="preserve"/>
      </w:r>
    </w:p>
    <w:p>
      <w:pPr>
        <w:jc w:val="both"/>
      </w:pPr>
      <w:r>
        <w:rPr/>
        <w:t xml:space="preserve">One potential bias is that the article relies heavily on information provided by the petitioners without presenting an equal amount of evidence from the State's perspective. While it is acknowledged that the State presented information on their investigation and proceedings against alleged perpetrators, this information is not explored in detail or given equal weight to that presented by the petitioners.</w:t>
      </w:r>
    </w:p>
    <w:p>
      <w:pPr>
        <w:jc w:val="both"/>
      </w:pPr>
      <w:r>
        <w:rPr/>
        <w:t xml:space="preserve"/>
      </w:r>
    </w:p>
    <w:p>
      <w:pPr>
        <w:jc w:val="both"/>
      </w:pPr>
      <w:r>
        <w:rPr/>
        <w:t xml:space="preserve">Additionally, there are some unsupported claims made by the petitioners that are not thoroughly examined or challenged in the article. For example, they allege that agents of the State sponsored and permitted extrajudicial executions but do not provide concrete evidence to support this claim.</w:t>
      </w:r>
    </w:p>
    <w:p>
      <w:pPr>
        <w:jc w:val="both"/>
      </w:pPr>
      <w:r>
        <w:rPr/>
        <w:t xml:space="preserve"/>
      </w:r>
    </w:p>
    <w:p>
      <w:pPr>
        <w:jc w:val="both"/>
      </w:pPr>
      <w:r>
        <w:rPr/>
        <w:t xml:space="preserve">There are also missing points of consideration in terms of potential counterarguments or alternative explanations for certain events. For instance, while it is noted that members of the army simulated an armed engagement with occupants of a house where victims were killed, it is not explored whether this was done intentionally as part of a cover-up or if it was standard protocol in such situations.</w:t>
      </w:r>
    </w:p>
    <w:p>
      <w:pPr>
        <w:jc w:val="both"/>
      </w:pPr>
      <w:r>
        <w:rPr/>
        <w:t xml:space="preserve"/>
      </w:r>
    </w:p>
    <w:p>
      <w:pPr>
        <w:jc w:val="both"/>
      </w:pPr>
      <w:r>
        <w:rPr/>
        <w:t xml:space="preserve">Furthermore, while risks associated with seeking a friendly settlement are briefly mentioned, there is no discussion about potential risks associated with holding military personnel accountable for their actions or how this may impact national security concerns.</w:t>
      </w:r>
    </w:p>
    <w:p>
      <w:pPr>
        <w:jc w:val="both"/>
      </w:pPr>
      <w:r>
        <w:rPr/>
        <w:t xml:space="preserve"/>
      </w:r>
    </w:p>
    <w:p>
      <w:pPr>
        <w:jc w:val="both"/>
      </w:pPr>
      <w:r>
        <w:rPr/>
        <w:t xml:space="preserve">In conclusion, while this article provides valuable insight into human rights violations committed during the Riofrío Massacre in Colombia, there are potential biases and missing points of consideration that should be addressed to provide a more balanced and comprehensive analysis.</w:t>
      </w:r>
    </w:p>
    <w:p>
      <w:pPr>
        <w:pStyle w:val="Heading1"/>
      </w:pPr>
      <w:bookmarkStart w:id="5" w:name="_Toc5"/>
      <w:r>
        <w:t>Topics for further research:</w:t>
      </w:r>
      <w:bookmarkEnd w:id="5"/>
    </w:p>
    <w:p>
      <w:pPr>
        <w:spacing w:after="0"/>
        <w:numPr>
          <w:ilvl w:val="0"/>
          <w:numId w:val="2"/>
        </w:numPr>
      </w:pPr>
      <w:r>
        <w:rPr/>
        <w:t xml:space="preserve">Counterarguments to allegations of State-sponsored extrajudicial executions in Colombia
</w:t>
      </w:r>
    </w:p>
    <w:p>
      <w:pPr>
        <w:spacing w:after="0"/>
        <w:numPr>
          <w:ilvl w:val="0"/>
          <w:numId w:val="2"/>
        </w:numPr>
      </w:pPr>
      <w:r>
        <w:rPr/>
        <w:t xml:space="preserve">Standard protocol for armed engagements by Colombian army in civilian areas
</w:t>
      </w:r>
    </w:p>
    <w:p>
      <w:pPr>
        <w:spacing w:after="0"/>
        <w:numPr>
          <w:ilvl w:val="0"/>
          <w:numId w:val="2"/>
        </w:numPr>
      </w:pPr>
      <w:r>
        <w:rPr/>
        <w:t xml:space="preserve">Potential impact of holding military personnel accountable on national security in Colombia
</w:t>
      </w:r>
    </w:p>
    <w:p>
      <w:pPr>
        <w:spacing w:after="0"/>
        <w:numPr>
          <w:ilvl w:val="0"/>
          <w:numId w:val="2"/>
        </w:numPr>
      </w:pPr>
      <w:r>
        <w:rPr/>
        <w:t xml:space="preserve">Criticisms of the petitioners' evidence in the Riofrío Massacre case
</w:t>
      </w:r>
    </w:p>
    <w:p>
      <w:pPr>
        <w:spacing w:after="0"/>
        <w:numPr>
          <w:ilvl w:val="0"/>
          <w:numId w:val="2"/>
        </w:numPr>
      </w:pPr>
      <w:r>
        <w:rPr/>
        <w:t xml:space="preserve">Perspectives from the Colombian government on the human rights violations in Riofrío
</w:t>
      </w:r>
    </w:p>
    <w:p>
      <w:pPr>
        <w:numPr>
          <w:ilvl w:val="0"/>
          <w:numId w:val="2"/>
        </w:numPr>
      </w:pPr>
      <w:r>
        <w:rPr/>
        <w:t xml:space="preserve">Historical context of human rights abuses by the Colombian military</w:t>
      </w:r>
    </w:p>
    <w:p>
      <w:pPr>
        <w:pStyle w:val="Heading1"/>
      </w:pPr>
      <w:bookmarkStart w:id="6" w:name="_Toc6"/>
      <w:r>
        <w:t>Report location:</w:t>
      </w:r>
      <w:bookmarkEnd w:id="6"/>
    </w:p>
    <w:p>
      <w:hyperlink r:id="rId8" w:history="1">
        <w:r>
          <w:rPr>
            <w:color w:val="2980b9"/>
            <w:u w:val="single"/>
          </w:rPr>
          <w:t xml:space="preserve">https://www.fullpicture.app/item/ea9b50ab6557c6358a4b997e477196d5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5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h.org/annualrep/2000eng/chapteriii/merits/colombia11.654.htm" TargetMode="External"/><Relationship Id="rId8" Type="http://schemas.openxmlformats.org/officeDocument/2006/relationships/hyperlink" Target="https://www.fullpicture.app/item/ea9b50ab6557c6358a4b997e47719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2023-12-07T15:49:51+01:00</dcterms:created>
  <dcterms:modified xsi:type="dcterms:W3CDTF">2023-12-07T15:49:51+01:00</dcterms:modified>
</cp:coreProperties>
</file>

<file path=docProps/custom.xml><?xml version="1.0" encoding="utf-8"?>
<Properties xmlns="http://schemas.openxmlformats.org/officeDocument/2006/custom-properties" xmlns:vt="http://schemas.openxmlformats.org/officeDocument/2006/docPropsVTypes"/>
</file>