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Free-Rising Bubbles Bounce More Strongly from Mobile than from Immobile Water–Air Interfaces | Langmuir</w:t>
      </w:r>
      <w:br/>
      <w:hyperlink r:id="rId7" w:history="1">
        <w:r>
          <w:rPr>
            <w:color w:val="2980b9"/>
            <w:u w:val="single"/>
          </w:rPr>
          <w:t xml:space="preserve">https://pubs.acs.org/doi/full/10.1021/acs.langmuir.0c00668</w:t>
        </w:r>
      </w:hyperlink>
    </w:p>
    <w:p>
      <w:pPr>
        <w:pStyle w:val="Heading1"/>
      </w:pPr>
      <w:bookmarkStart w:id="2" w:name="_Toc2"/>
      <w:r>
        <w:t>Article summary:</w:t>
      </w:r>
      <w:bookmarkEnd w:id="2"/>
    </w:p>
    <w:p>
      <w:pPr>
        <w:jc w:val="both"/>
      </w:pPr>
      <w:r>
        <w:rPr/>
        <w:t xml:space="preserve">1. The outcome of the collision between two bubbles or droplets is determined by the hydrodynamic interaction that acts from separation distances comparable to the size of bubbles and droplets.</w:t>
      </w:r>
    </w:p>
    <w:p>
      <w:pPr>
        <w:jc w:val="both"/>
      </w:pPr>
      <w:r>
        <w:rPr/>
        <w:t xml:space="preserve">2. A clean bubble or droplet interface is expected to be tangentially mobile, while a liquid-solid interface has zero fluid velocity due to the no-slip boundary condition.</w:t>
      </w:r>
    </w:p>
    <w:p>
      <w:pPr>
        <w:jc w:val="both"/>
      </w:pPr>
      <w:r>
        <w:rPr/>
        <w:t xml:space="preserve">3. Experiments were conducted using extrapure perfluorocarbon liquids, which have excellent resistivity to surface-active contaminants, leaving the liquid–air interface inherently mobile.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“Free-Rising Bubbles Bounce More Strongly from Mobile than from Immobile Water–Air Interfaces” is an informative and well-written piece that provides a comprehensive overview of the dynamic interaction between deformable bubbles and droplets in various industrial applications, naturally occurring phenomena, and biological processes. The article does an excellent job of explaining how the mobility of a gas–liquid interface can affect the outcome of collisions between two bubbles or droplets, as well as providing details on experiments conducted using extrapure perfluorocarbon liquids with excellent resistivity to surface-active contaminants. </w:t>
      </w:r>
    </w:p>
    <w:p>
      <w:pPr>
        <w:jc w:val="both"/>
      </w:pPr>
      <w:r>
        <w:rPr/>
        <w:t xml:space="preserve">The article is reliable and trustworthy in its presentation of information; it provides clear explanations for each concept discussed and cites relevant sources throughout. Additionally, it does not appear to contain any promotional content or partiality towards any particular point of view; instead, it presents both sides equally and allows readers to draw their own conclusions based on the evidence presented. Furthermore, possible risks are noted throughout the article when discussing certain concepts such as surface active molecules adsorption at gas–liquid interfaces. </w:t>
      </w:r>
    </w:p>
    <w:p>
      <w:pPr>
        <w:jc w:val="both"/>
      </w:pPr>
      <w:r>
        <w:rPr/>
        <w:t xml:space="preserve">In terms of potential biases or unsupported claims, there are none present in this article; all claims made are supported by evidence provided in relevant sources cited throughout. Additionally, all points of consideration are explored thoroughly and counterarguments are presented when necessary. As such, this article can be considered reliable and trustworthy in its presentation of information regarding deformable bubbles and droplets interactions with mobile versus immobile water–air interfaces.</w:t>
      </w:r>
    </w:p>
    <w:p>
      <w:pPr>
        <w:pStyle w:val="Heading1"/>
      </w:pPr>
      <w:bookmarkStart w:id="5" w:name="_Toc5"/>
      <w:r>
        <w:t>Topics for further research:</w:t>
      </w:r>
      <w:bookmarkEnd w:id="5"/>
    </w:p>
    <w:p>
      <w:pPr>
        <w:spacing w:after="0"/>
        <w:numPr>
          <w:ilvl w:val="0"/>
          <w:numId w:val="2"/>
        </w:numPr>
      </w:pPr>
      <w:r>
        <w:rPr/>
        <w:t xml:space="preserve">Bubble dynamics</w:t>
      </w:r>
    </w:p>
    <w:p>
      <w:pPr>
        <w:spacing w:after="0"/>
        <w:numPr>
          <w:ilvl w:val="0"/>
          <w:numId w:val="2"/>
        </w:numPr>
      </w:pPr>
      <w:r>
        <w:rPr/>
        <w:t xml:space="preserve">Droplet collisions</w:t>
      </w:r>
    </w:p>
    <w:p>
      <w:pPr>
        <w:spacing w:after="0"/>
        <w:numPr>
          <w:ilvl w:val="0"/>
          <w:numId w:val="2"/>
        </w:numPr>
      </w:pPr>
      <w:r>
        <w:rPr/>
        <w:t xml:space="preserve">Surface active molecules</w:t>
      </w:r>
    </w:p>
    <w:p>
      <w:pPr>
        <w:spacing w:after="0"/>
        <w:numPr>
          <w:ilvl w:val="0"/>
          <w:numId w:val="2"/>
        </w:numPr>
      </w:pPr>
      <w:r>
        <w:rPr/>
        <w:t xml:space="preserve">Gas–liquid interfaces</w:t>
      </w:r>
    </w:p>
    <w:p>
      <w:pPr>
        <w:spacing w:after="0"/>
        <w:numPr>
          <w:ilvl w:val="0"/>
          <w:numId w:val="2"/>
        </w:numPr>
      </w:pPr>
      <w:r>
        <w:rPr/>
        <w:t xml:space="preserve">Extrapure perfluorocarbon liquids</w:t>
      </w:r>
    </w:p>
    <w:p>
      <w:pPr>
        <w:numPr>
          <w:ilvl w:val="0"/>
          <w:numId w:val="2"/>
        </w:numPr>
      </w:pPr>
      <w:r>
        <w:rPr/>
        <w:t xml:space="preserve">Industrial applications of deformable bubbles</w:t>
      </w:r>
    </w:p>
    <w:p>
      <w:pPr>
        <w:pStyle w:val="Heading1"/>
      </w:pPr>
      <w:bookmarkStart w:id="6" w:name="_Toc6"/>
      <w:r>
        <w:t>Report location:</w:t>
      </w:r>
      <w:bookmarkEnd w:id="6"/>
    </w:p>
    <w:p>
      <w:hyperlink r:id="rId8" w:history="1">
        <w:r>
          <w:rPr>
            <w:color w:val="2980b9"/>
            <w:u w:val="single"/>
          </w:rPr>
          <w:t xml:space="preserve">https://www.fullpicture.app/item/eb0b218754c8567b43e9a0302301e088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2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langmuir.0c00668" TargetMode="External"/><Relationship Id="rId8" Type="http://schemas.openxmlformats.org/officeDocument/2006/relationships/hyperlink" Target="https://www.fullpicture.app/item/eb0b218754c8567b43e9a0302301e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2023-02-23T17:16:39+01:00</dcterms:created>
  <dcterms:modified xsi:type="dcterms:W3CDTF">2023-02-23T17:16:39+01:00</dcterms:modified>
</cp:coreProperties>
</file>

<file path=docProps/custom.xml><?xml version="1.0" encoding="utf-8"?>
<Properties xmlns="http://schemas.openxmlformats.org/officeDocument/2006/custom-properties" xmlns:vt="http://schemas.openxmlformats.org/officeDocument/2006/docPropsVTypes"/>
</file>