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重症 COVID-19 患者外周免疫应答的单细胞图谱 - PMC</w:t>
      </w:r>
      <w:br/>
      <w:hyperlink r:id="rId7" w:history="1">
        <w:r>
          <w:rPr>
            <w:color w:val="2980b9"/>
            <w:u w:val="single"/>
          </w:rPr>
          <w:t xml:space="preserve">https://www.ncbi.nlm.nih.gov/pmc/articles/PMC7382903/</w:t>
        </w:r>
      </w:hyperlink>
    </w:p>
    <w:p>
      <w:pPr>
        <w:pStyle w:val="Heading1"/>
      </w:pPr>
      <w:bookmarkStart w:id="2" w:name="_Toc2"/>
      <w:r>
        <w:t>Article summary:</w:t>
      </w:r>
      <w:bookmarkEnd w:id="2"/>
    </w:p>
    <w:p>
      <w:pPr>
        <w:jc w:val="both"/>
      </w:pPr>
      <w:r>
        <w:rPr/>
        <w:t xml:space="preserve">1. Severe COVID-19 patients exhibit changes in peripheral immune cell phenotype, including downregulation of HLA II and the presence of developing neutrophil populations.</w:t>
      </w:r>
    </w:p>
    <w:p>
      <w:pPr>
        <w:jc w:val="both"/>
      </w:pPr>
      <w:r>
        <w:rPr/>
        <w:t xml:space="preserve">2. Peripheral monocytes and lymphocytes in severe COVID-19 patients do not express high levels of pro-inflammatory cytokines.</w:t>
      </w:r>
    </w:p>
    <w:p>
      <w:pPr>
        <w:jc w:val="both"/>
      </w:pPr>
      <w:r>
        <w:rPr/>
        <w:t xml:space="preserve">3. Several innate immune cell subpopulations are depleted in COVID-19 patients, including γδ T cells, pDCs, DCs, CD16 monocytes, and NK cells.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"Single-cell atlas of peripheral immune response in severe COVID-19" provides insights into the immune response of critically ill COVID-19 patients. The study used single-cell RNA sequencing to analyze the peripheral blood mononuclear cells (PBMC) of 19 hospitalized COVID-19 patients, including 19 with acute respiratory distress syndrome (ARDS), and compared them to healthy controls.</w:t>
      </w:r>
    </w:p>
    <w:p>
      <w:pPr>
        <w:jc w:val="both"/>
      </w:pPr>
      <w:r>
        <w:rPr/>
        <w:t xml:space="preserve"/>
      </w:r>
    </w:p>
    <w:p>
      <w:pPr>
        <w:jc w:val="both"/>
      </w:pPr>
      <w:r>
        <w:rPr/>
        <w:t xml:space="preserve">The article presents a detailed analysis of the changes in the immune cell phenotype observed in COVID-19 patients, including downregulation of HLA II expression, neutrophil development, and interferon-stimulated gene markers. The study also found that there was no significant increase in pro-inflammatory cytokine expression by peripheral monocytes and lymphocytes.</w:t>
      </w:r>
    </w:p>
    <w:p>
      <w:pPr>
        <w:jc w:val="both"/>
      </w:pPr>
      <w:r>
        <w:rPr/>
        <w:t xml:space="preserve"/>
      </w:r>
    </w:p>
    <w:p>
      <w:pPr>
        <w:jc w:val="both"/>
      </w:pPr>
      <w:r>
        <w:rPr/>
        <w:t xml:space="preserve">However, the article has some potential biases and limitations. Firstly, the sample size is relatively small, with only 19 COVID-19 patients included in the study. Secondly, all patients were hospitalized and had severe disease, which may not be representative of all COVID-19 cases. Thirdly, there is no information on whether any of the patients received immunomodulatory therapies before or during hospitalization.</w:t>
      </w:r>
    </w:p>
    <w:p>
      <w:pPr>
        <w:jc w:val="both"/>
      </w:pPr>
      <w:r>
        <w:rPr/>
        <w:t xml:space="preserve"/>
      </w:r>
    </w:p>
    <w:p>
      <w:pPr>
        <w:jc w:val="both"/>
      </w:pPr>
      <w:r>
        <w:rPr/>
        <w:t xml:space="preserve">Moreover, while the study provides valuable insights into the immune response in severe COVID-19 cases, it does not explore potential counterarguments or alternative explanations for its findings. For example, it is possible that changes in immune cell phenotype are a consequence rather than a cause of severe disease.</w:t>
      </w:r>
    </w:p>
    <w:p>
      <w:pPr>
        <w:jc w:val="both"/>
      </w:pPr>
      <w:r>
        <w:rPr/>
        <w:t xml:space="preserve"/>
      </w:r>
    </w:p>
    <w:p>
      <w:pPr>
        <w:jc w:val="both"/>
      </w:pPr>
      <w:r>
        <w:rPr/>
        <w:t xml:space="preserve">Additionally, while the article notes that some COVID-19 patients require mechanical ventilation due to respiratory failure associated with plasmacytoid dendritic cell expansion and neutrophil depletion observed in this study, it does not discuss potential risks associated with these findings or their implications for patient care.</w:t>
      </w:r>
    </w:p>
    <w:p>
      <w:pPr>
        <w:jc w:val="both"/>
      </w:pPr>
      <w:r>
        <w:rPr/>
        <w:t xml:space="preserve"/>
      </w:r>
    </w:p>
    <w:p>
      <w:pPr>
        <w:jc w:val="both"/>
      </w:pPr>
      <w:r>
        <w:rPr/>
        <w:t xml:space="preserve">Overall, while this study provides important insights into the immune response in severe COVID-19 cases using single-cell RNA sequencing technology, its limitations should be considered when interpreting its findings. Further research is needed to confirm these results and explore potential mechanisms underlying severe disease outcomes in COVID-19 patients.</w:t>
      </w:r>
    </w:p>
    <w:p>
      <w:pPr>
        <w:pStyle w:val="Heading1"/>
      </w:pPr>
      <w:bookmarkStart w:id="5" w:name="_Toc5"/>
      <w:r>
        <w:t>Topics for further research:</w:t>
      </w:r>
      <w:bookmarkEnd w:id="5"/>
    </w:p>
    <w:p>
      <w:pPr>
        <w:spacing w:after="0"/>
        <w:numPr>
          <w:ilvl w:val="0"/>
          <w:numId w:val="2"/>
        </w:numPr>
      </w:pPr>
      <w:r>
        <w:rPr/>
        <w:t xml:space="preserve">Mechanisms underlying severe disease outcomes in COVID-19 patients
</w:t>
      </w:r>
    </w:p>
    <w:p>
      <w:pPr>
        <w:spacing w:after="0"/>
        <w:numPr>
          <w:ilvl w:val="0"/>
          <w:numId w:val="2"/>
        </w:numPr>
      </w:pPr>
      <w:r>
        <w:rPr/>
        <w:t xml:space="preserve">Immunomodulatory therapies for COVID-19 patients
</w:t>
      </w:r>
    </w:p>
    <w:p>
      <w:pPr>
        <w:spacing w:after="0"/>
        <w:numPr>
          <w:ilvl w:val="0"/>
          <w:numId w:val="2"/>
        </w:numPr>
      </w:pPr>
      <w:r>
        <w:rPr/>
        <w:t xml:space="preserve">Counterarguments to the findings of the single-cell atlas study
</w:t>
      </w:r>
    </w:p>
    <w:p>
      <w:pPr>
        <w:spacing w:after="0"/>
        <w:numPr>
          <w:ilvl w:val="0"/>
          <w:numId w:val="2"/>
        </w:numPr>
      </w:pPr>
      <w:r>
        <w:rPr/>
        <w:t xml:space="preserve">Risks associated with plasmacytoid dendritic cell expansion and neutrophil depletion in COVID-19 patients
</w:t>
      </w:r>
    </w:p>
    <w:p>
      <w:pPr>
        <w:spacing w:after="0"/>
        <w:numPr>
          <w:ilvl w:val="0"/>
          <w:numId w:val="2"/>
        </w:numPr>
      </w:pPr>
      <w:r>
        <w:rPr/>
        <w:t xml:space="preserve">Immune response in mild/moderate COVID-19 cases
</w:t>
      </w:r>
    </w:p>
    <w:p>
      <w:pPr>
        <w:numPr>
          <w:ilvl w:val="0"/>
          <w:numId w:val="2"/>
        </w:numPr>
      </w:pPr>
      <w:r>
        <w:rPr/>
        <w:t xml:space="preserve">Long-term effects of COVID-19 on the immune system</w:t>
      </w:r>
    </w:p>
    <w:p>
      <w:pPr>
        <w:pStyle w:val="Heading1"/>
      </w:pPr>
      <w:bookmarkStart w:id="6" w:name="_Toc6"/>
      <w:r>
        <w:t>Report location:</w:t>
      </w:r>
      <w:bookmarkEnd w:id="6"/>
    </w:p>
    <w:p>
      <w:hyperlink r:id="rId8" w:history="1">
        <w:r>
          <w:rPr>
            <w:color w:val="2980b9"/>
            <w:u w:val="single"/>
          </w:rPr>
          <w:t xml:space="preserve">https://www.fullpicture.app/item/ef5a6d45b9cd11ece57c16e6e6fc7fee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753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382903/" TargetMode="External"/><Relationship Id="rId8" Type="http://schemas.openxmlformats.org/officeDocument/2006/relationships/hyperlink" Target="https://www.fullpicture.app/item/ef5a6d45b9cd11ece57c16e6e6fc7f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2023-12-27T23:19:55+01:00</dcterms:created>
  <dcterms:modified xsi:type="dcterms:W3CDTF">2023-12-27T23:19:55+01:00</dcterms:modified>
</cp:coreProperties>
</file>

<file path=docProps/custom.xml><?xml version="1.0" encoding="utf-8"?>
<Properties xmlns="http://schemas.openxmlformats.org/officeDocument/2006/custom-properties" xmlns:vt="http://schemas.openxmlformats.org/officeDocument/2006/docPropsVTypes"/>
</file>