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Allergic inflammatory memory in human respiratory epithelial progenitor cells - PMC</w:t>
      </w:r>
      <w:br/>
      <w:hyperlink r:id="rId7" w:history="1">
        <w:r>
          <w:rPr>
            <w:color w:val="2980b9"/>
            <w:u w:val="single"/>
          </w:rPr>
          <w:t xml:space="preserve">https://www.ncbi.nlm.nih.gov/pmc/articles/PMC6133715/</w:t>
        </w:r>
      </w:hyperlink>
    </w:p>
    <w:p>
      <w:pPr>
        <w:pStyle w:val="Heading1"/>
      </w:pPr>
      <w:bookmarkStart w:id="2" w:name="_Toc2"/>
      <w:r>
        <w:t>Article summary:</w:t>
      </w:r>
      <w:bookmarkEnd w:id="2"/>
    </w:p>
    <w:p>
      <w:pPr>
        <w:jc w:val="both"/>
      </w:pPr>
      <w:r>
        <w:rPr/>
        <w:t xml:space="preserve">1. Chronic respiratory Type 2 immunity (T2I) disease can lead to allergic inflammation and barrier tissue dysfunction in humans, resulting in chronic rhinosinusitis (CRS).</w:t>
      </w:r>
    </w:p>
    <w:p>
      <w:pPr>
        <w:jc w:val="both"/>
      </w:pPr>
      <w:r>
        <w:rPr/>
        <w:t xml:space="preserve">2. Basal cell hyperplasia is a hallmark of severe CRS, but the contribution of respiratory epithelial progenitor cells to clinical presentation and barrier tissue dysfunction in humans remains unexplored.</w:t>
      </w:r>
    </w:p>
    <w:p>
      <w:pPr>
        <w:jc w:val="both"/>
      </w:pPr>
      <w:r>
        <w:rPr/>
        <w:t xml:space="preserve">3. Through single-cell RNA sequencing, researchers identified that reduced epithelial diversity stemming from functional shifts in basal cells is a key element of T2I barrier tissue dysfunction, and that basal cells retain intrinsic memory of IL-4/IL-13 exposure.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"Allergic inflammatory memory in human respiratory epithelial progenitor cells" presents a study on the cellular ecosystem of chronic respiratory Type 2 immunity (T2I) disease in humans. The authors used single-cell RNA sequencing to profile primary human surgical CRS samples and nasal scrapings, identifying key mediators and defining core, healthy, inflamed, and polyp secretory cell signatures. They found that reduced epithelial diversity stemming from functional shifts in basal cells is a key element of T2I barrier tissue dysfunction.</w:t>
      </w:r>
    </w:p>
    <w:p>
      <w:pPr>
        <w:jc w:val="both"/>
      </w:pPr>
      <w:r>
        <w:rPr/>
        <w:t xml:space="preserve"/>
      </w:r>
    </w:p>
    <w:p>
      <w:pPr>
        <w:jc w:val="both"/>
      </w:pPr>
      <w:r>
        <w:rPr/>
        <w:t xml:space="preserve">Overall, the article provides valuable insights into the cellular mechanisms underlying chronic respiratory T2I disease. However, there are some potential biases and limitations to consider. </w:t>
      </w:r>
    </w:p>
    <w:p>
      <w:pPr>
        <w:jc w:val="both"/>
      </w:pPr>
      <w:r>
        <w:rPr/>
        <w:t xml:space="preserve"/>
      </w:r>
    </w:p>
    <w:p>
      <w:pPr>
        <w:jc w:val="both"/>
      </w:pPr>
      <w:r>
        <w:rPr/>
        <w:t xml:space="preserve">Firstly, the study only included a small sample size of 12 patients spanning the CRS spectrum. While this is understandable given the complexity of single-cell RNA sequencing, it limits the generalizability of the findings. Additionally, all patients were recruited from a single institution, which may introduce institutional biases.</w:t>
      </w:r>
    </w:p>
    <w:p>
      <w:pPr>
        <w:jc w:val="both"/>
      </w:pPr>
      <w:r>
        <w:rPr/>
        <w:t xml:space="preserve"/>
      </w:r>
    </w:p>
    <w:p>
      <w:pPr>
        <w:jc w:val="both"/>
      </w:pPr>
      <w:r>
        <w:rPr/>
        <w:t xml:space="preserve">Secondly, while the authors acknowledge that their study has limitations due to its cross-sectional nature and lack of longitudinal data, they do not explore potential counterarguments or alternative explanations for their findings. For example, it is possible that reduced epithelial diversity is a consequence rather than a cause of T2I barrier tissue dysfunction.</w:t>
      </w:r>
    </w:p>
    <w:p>
      <w:pPr>
        <w:jc w:val="both"/>
      </w:pPr>
      <w:r>
        <w:rPr/>
        <w:t xml:space="preserve"/>
      </w:r>
    </w:p>
    <w:p>
      <w:pPr>
        <w:jc w:val="both"/>
      </w:pPr>
      <w:r>
        <w:rPr/>
        <w:t xml:space="preserve">Thirdly, there is some promotional content in the article regarding potential clinical applications of IL-4Rα blockade to modify basal and secretory cell states in vivo. While this is an interesting avenue for future research, it should be noted that such interventions carry potential risks and side effects that need to be carefully considered.</w:t>
      </w:r>
    </w:p>
    <w:p>
      <w:pPr>
        <w:jc w:val="both"/>
      </w:pPr>
      <w:r>
        <w:rPr/>
        <w:t xml:space="preserve"/>
      </w:r>
    </w:p>
    <w:p>
      <w:pPr>
        <w:jc w:val="both"/>
      </w:pPr>
      <w:r>
        <w:rPr/>
        <w:t xml:space="preserve">In conclusion, while the article provides valuable insights into the cellular mechanisms underlying chronic respiratory T2I disease in humans, there are some potential biases and limitations to consider. Further research with larger sample sizes and longitudinal data would help confirm these findings and explore alternative explanations.</w:t>
      </w:r>
    </w:p>
    <w:p>
      <w:pPr>
        <w:pStyle w:val="Heading1"/>
      </w:pPr>
      <w:bookmarkStart w:id="5" w:name="_Toc5"/>
      <w:r>
        <w:t>Topics for further research:</w:t>
      </w:r>
      <w:bookmarkEnd w:id="5"/>
    </w:p>
    <w:p>
      <w:pPr>
        <w:spacing w:after="0"/>
        <w:numPr>
          <w:ilvl w:val="0"/>
          <w:numId w:val="2"/>
        </w:numPr>
      </w:pPr>
      <w:r>
        <w:rPr/>
        <w:t xml:space="preserve">Longitudinal studies on chronic respiratory Type 2 immunity disease
</w:t>
      </w:r>
    </w:p>
    <w:p>
      <w:pPr>
        <w:spacing w:after="0"/>
        <w:numPr>
          <w:ilvl w:val="0"/>
          <w:numId w:val="2"/>
        </w:numPr>
      </w:pPr>
      <w:r>
        <w:rPr/>
        <w:t xml:space="preserve">Alternative explanations for reduced epithelial diversity in T2I barrier tissue dysfunction
</w:t>
      </w:r>
    </w:p>
    <w:p>
      <w:pPr>
        <w:spacing w:after="0"/>
        <w:numPr>
          <w:ilvl w:val="0"/>
          <w:numId w:val="2"/>
        </w:numPr>
      </w:pPr>
      <w:r>
        <w:rPr/>
        <w:t xml:space="preserve">Institutional biases in single-cell RNA sequencing studies
</w:t>
      </w:r>
    </w:p>
    <w:p>
      <w:pPr>
        <w:spacing w:after="0"/>
        <w:numPr>
          <w:ilvl w:val="0"/>
          <w:numId w:val="2"/>
        </w:numPr>
      </w:pPr>
      <w:r>
        <w:rPr/>
        <w:t xml:space="preserve">Risks and side effects of IL-4Rα blockade in clinical applications
</w:t>
      </w:r>
    </w:p>
    <w:p>
      <w:pPr>
        <w:spacing w:after="0"/>
        <w:numPr>
          <w:ilvl w:val="0"/>
          <w:numId w:val="2"/>
        </w:numPr>
      </w:pPr>
      <w:r>
        <w:rPr/>
        <w:t xml:space="preserve">Genetic and environmental factors contributing to T2I disease
</w:t>
      </w:r>
    </w:p>
    <w:p>
      <w:pPr>
        <w:numPr>
          <w:ilvl w:val="0"/>
          <w:numId w:val="2"/>
        </w:numPr>
      </w:pPr>
      <w:r>
        <w:rPr/>
        <w:t xml:space="preserve">Role of immune cells in chronic respiratory T2I disease.</w:t>
      </w:r>
    </w:p>
    <w:p>
      <w:pPr>
        <w:pStyle w:val="Heading1"/>
      </w:pPr>
      <w:bookmarkStart w:id="6" w:name="_Toc6"/>
      <w:r>
        <w:t>Report location:</w:t>
      </w:r>
      <w:bookmarkEnd w:id="6"/>
    </w:p>
    <w:p>
      <w:hyperlink r:id="rId8" w:history="1">
        <w:r>
          <w:rPr>
            <w:color w:val="2980b9"/>
            <w:u w:val="single"/>
          </w:rPr>
          <w:t xml:space="preserve">https://www.fullpicture.app/item/efd306f879a2db1b5c49c9f56c5934d8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BCC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133715/" TargetMode="External"/><Relationship Id="rId8" Type="http://schemas.openxmlformats.org/officeDocument/2006/relationships/hyperlink" Target="https://www.fullpicture.app/item/efd306f879a2db1b5c49c9f56c5934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2023-03-16T14:30:01+01:00</dcterms:created>
  <dcterms:modified xsi:type="dcterms:W3CDTF">2023-03-16T14:30:01+01:00</dcterms:modified>
</cp:coreProperties>
</file>

<file path=docProps/custom.xml><?xml version="1.0" encoding="utf-8"?>
<Properties xmlns="http://schemas.openxmlformats.org/officeDocument/2006/custom-properties" xmlns:vt="http://schemas.openxmlformats.org/officeDocument/2006/docPropsVTypes"/>
</file>