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First‐in‐human, randomized dose‐escalation study of the safety, tolerability, pharmacokinetics, pharmacodynamics and immunogenicity of PF‐06480605 in healthy subjects - Banfield - 2020 - British Journal of Clinical Pharmacology - Wiley Online Library</w:t>
      </w:r>
      <w:br/>
      <w:hyperlink r:id="rId7" w:history="1">
        <w:r>
          <w:rPr>
            <w:color w:val="2980b9"/>
            <w:u w:val="single"/>
          </w:rPr>
          <w:t xml:space="preserve">https://bpspubs.onlinelibrary.wiley.com/doi/10.1111/bcp.14187</w:t>
        </w:r>
      </w:hyperlink>
    </w:p>
    <w:p>
      <w:pPr>
        <w:pStyle w:val="Heading1"/>
      </w:pPr>
      <w:bookmarkStart w:id="2" w:name="_Toc2"/>
      <w:r>
        <w:t>Article summary:</w:t>
      </w:r>
      <w:bookmarkEnd w:id="2"/>
    </w:p>
    <w:p>
      <w:pPr>
        <w:jc w:val="both"/>
      </w:pPr>
      <w:r>
        <w:rPr/>
        <w:t xml:space="preserve">1. This study assessed the safety, tolerability, pharmacokinetics, pharmacodynamics and immunogenicity of PF-06480605, a fully human immunoglobulin G1 monoclonal antibody targeting TL1A, in healthy subjects.</w:t>
      </w:r>
    </w:p>
    <w:p>
      <w:pPr>
        <w:jc w:val="both"/>
      </w:pPr>
      <w:r>
        <w:rPr/>
        <w:t xml:space="preserve">2. The study found that PF-06480605 was generally well tolerated up to 800 mg intravenous (IV) (SAD) and 300 mg ×3 subcutaneous (SC) and 500 mg ×3 IV (MAD).</w:t>
      </w:r>
    </w:p>
    <w:p>
      <w:pPr>
        <w:jc w:val="both"/>
      </w:pPr>
      <w:r>
        <w:rPr/>
        <w:t xml:space="preserve">3. Target engagement was demonstrated in PF-06480605 groups compared with placebo, suggesting further study of PF-06480605 as a treatment for inflammatory conditions such as inflammatory bowel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It provides detailed information about the study design, methods used, results obtained and conclusions drawn from the data. The authors have provided sufficient evidence to support their claims and conclusions. The article is also unbiased; it does not present any one side more favourably than the other or make unsupported claims. Furthermore, potential risks are noted throughout the article. </w:t>
      </w:r>
    </w:p>
    <w:p>
      <w:pPr>
        <w:jc w:val="both"/>
      </w:pPr>
      <w:r>
        <w:rPr/>
        <w:t xml:space="preserve">However, there are some points of consideration that are missing from the article. For example, there is no discussion of how long-term use of PF-06480605 may affect patients with inflammatory conditions such as inflammatory bowel disease or other chronic diseases. Additionally, there is no mention of possible adverse effects associated with long-term use of this drug or its potential interactions with other medications or treatments that patients may be taking for their condition. Finally, while the authors have discussed target engagement in terms of serum total soluble TL1A concentrations for PF-06480605 vs placebo cohorts, they do not discuss how this target engagement translates into clinical outcomes for patients with inflammatory conditions such as inflammatory bowel disease or other chronic diseases.</w:t>
      </w:r>
    </w:p>
    <w:p>
      <w:pPr>
        <w:pStyle w:val="Heading1"/>
      </w:pPr>
      <w:bookmarkStart w:id="5" w:name="_Toc5"/>
      <w:r>
        <w:t>Topics for further research:</w:t>
      </w:r>
      <w:bookmarkEnd w:id="5"/>
    </w:p>
    <w:p>
      <w:pPr>
        <w:spacing w:after="0"/>
        <w:numPr>
          <w:ilvl w:val="0"/>
          <w:numId w:val="2"/>
        </w:numPr>
      </w:pPr>
      <w:r>
        <w:rPr/>
        <w:t xml:space="preserve">Long-term effects of PF-06480605</w:t>
      </w:r>
    </w:p>
    <w:p>
      <w:pPr>
        <w:spacing w:after="0"/>
        <w:numPr>
          <w:ilvl w:val="0"/>
          <w:numId w:val="2"/>
        </w:numPr>
      </w:pPr>
      <w:r>
        <w:rPr/>
        <w:t xml:space="preserve">Adverse effects of PF-06480605</w:t>
      </w:r>
    </w:p>
    <w:p>
      <w:pPr>
        <w:spacing w:after="0"/>
        <w:numPr>
          <w:ilvl w:val="0"/>
          <w:numId w:val="2"/>
        </w:numPr>
      </w:pPr>
      <w:r>
        <w:rPr/>
        <w:t xml:space="preserve">Drug interactions with PF-06480605</w:t>
      </w:r>
    </w:p>
    <w:p>
      <w:pPr>
        <w:spacing w:after="0"/>
        <w:numPr>
          <w:ilvl w:val="0"/>
          <w:numId w:val="2"/>
        </w:numPr>
      </w:pPr>
      <w:r>
        <w:rPr/>
        <w:t xml:space="preserve">Clinical outcomes of PF-06480605</w:t>
      </w:r>
    </w:p>
    <w:p>
      <w:pPr>
        <w:spacing w:after="0"/>
        <w:numPr>
          <w:ilvl w:val="0"/>
          <w:numId w:val="2"/>
        </w:numPr>
      </w:pPr>
      <w:r>
        <w:rPr/>
        <w:t xml:space="preserve">TL1A target engagement and inflammatory diseases</w:t>
      </w:r>
    </w:p>
    <w:p>
      <w:pPr>
        <w:numPr>
          <w:ilvl w:val="0"/>
          <w:numId w:val="2"/>
        </w:numPr>
      </w:pPr>
      <w:r>
        <w:rPr/>
        <w:t xml:space="preserve">PF-06480605 and chronic diseases</w:t>
      </w:r>
    </w:p>
    <w:p>
      <w:pPr>
        <w:pStyle w:val="Heading1"/>
      </w:pPr>
      <w:bookmarkStart w:id="6" w:name="_Toc6"/>
      <w:r>
        <w:t>Report location:</w:t>
      </w:r>
      <w:bookmarkEnd w:id="6"/>
    </w:p>
    <w:p>
      <w:hyperlink r:id="rId8" w:history="1">
        <w:r>
          <w:rPr>
            <w:color w:val="2980b9"/>
            <w:u w:val="single"/>
          </w:rPr>
          <w:t xml:space="preserve">https://www.fullpicture.app/item/f0328450c265d81c62216752d81506ef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50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pspubs.onlinelibrary.wiley.com/doi/10.1111/bcp.14187" TargetMode="External"/><Relationship Id="rId8" Type="http://schemas.openxmlformats.org/officeDocument/2006/relationships/hyperlink" Target="https://www.fullpicture.app/item/f0328450c265d81c62216752d81506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2023-03-04T05:22:26+01:00</dcterms:created>
  <dcterms:modified xsi:type="dcterms:W3CDTF">2023-03-04T05:22:26+01:00</dcterms:modified>
</cp:coreProperties>
</file>

<file path=docProps/custom.xml><?xml version="1.0" encoding="utf-8"?>
<Properties xmlns="http://schemas.openxmlformats.org/officeDocument/2006/custom-properties" xmlns:vt="http://schemas.openxmlformats.org/officeDocument/2006/docPropsVTypes"/>
</file>