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Modern Mutual Fund Family - ScienceDirect</w:t>
      </w:r>
      <w:br/>
      <w:hyperlink r:id="rId7" w:history="1">
        <w:r>
          <w:rPr>
            <w:color w:val="2980b9"/>
            <w:u w:val="single"/>
          </w:rPr>
          <w:t xml:space="preserve">https://vpn.jlu.edu.cn/https/6a6c7576706e6973746865676f6f642146ab1ccab988c2a628982887fb4b0f3fca7e3a30a5/science/article/pii/S0304405X23000260</w:t>
        </w:r>
      </w:hyperlink>
    </w:p>
    <w:p>
      <w:pPr>
        <w:pStyle w:val="Heading1"/>
      </w:pPr>
      <w:bookmarkStart w:id="2" w:name="_Toc2"/>
      <w:r>
        <w:t>Article summary:</w:t>
      </w:r>
      <w:bookmarkEnd w:id="2"/>
    </w:p>
    <w:p>
      <w:pPr>
        <w:jc w:val="both"/>
      </w:pPr>
      <w:r>
        <w:rPr/>
        <w:t xml:space="preserve">1. 现代共同基金家族包括主动型和指数型基金，其中指数型基金的存在可以提高整个家族的表现。</w:t>
      </w:r>
    </w:p>
    <w:p>
      <w:pPr>
        <w:jc w:val="both"/>
      </w:pPr>
      <w:r>
        <w:rPr/>
        <w:t xml:space="preserve">2. 家族内部的竞争可以激励基金经理付出更多努力，而费用水平与表现呈正相关关系。</w:t>
      </w:r>
    </w:p>
    <w:p>
      <w:pPr>
        <w:jc w:val="both"/>
      </w:pPr>
      <w:r>
        <w:rPr/>
        <w:t xml:space="preserve">3. 指数型基金和交易所交易基金（ETF）对于家族的支出压力有独特贡献，同时指数型基金还可以降低主动型基金的流量-表现敏感度和流量波动性。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该文章的标题为“现代共同基金家族”，但其实际内容只涉及到了主动型共同基金和指数型共同基金之间的关系，没有对其他类型的共同基金进行探讨。这可能导致读者对于整个共同基金市场的认识存在偏差。</w:t>
      </w:r>
    </w:p>
    <w:p>
      <w:pPr>
        <w:jc w:val="both"/>
      </w:pPr>
      <w:r>
        <w:rPr/>
        <w:t xml:space="preserve"/>
      </w:r>
    </w:p>
    <w:p>
      <w:pPr>
        <w:jc w:val="both"/>
      </w:pPr>
      <w:r>
        <w:rPr/>
        <w:t xml:space="preserve">文章提出了一个结论，即在拥有更多指数型共同基金的家族中，主动型共同基金表现更好。然而，该结论并没有考虑到其他可能影响表现的因素，如管理团队、投资策略等。此外，文章也没有提供足够的证据来支持这一结论。</w:t>
      </w:r>
    </w:p>
    <w:p>
      <w:pPr>
        <w:jc w:val="both"/>
      </w:pPr>
      <w:r>
        <w:rPr/>
        <w:t xml:space="preserve"/>
      </w:r>
    </w:p>
    <w:p>
      <w:pPr>
        <w:jc w:val="both"/>
      </w:pPr>
      <w:r>
        <w:rPr/>
        <w:t xml:space="preserve">文章还提到了道德风险问题，即被动型和主动型费用水平与绩效正相关。然而，作者并没有深入探讨这一问题背后的原因，并且也没有提供任何解决方案。</w:t>
      </w:r>
    </w:p>
    <w:p>
      <w:pPr>
        <w:jc w:val="both"/>
      </w:pPr>
      <w:r>
        <w:rPr/>
        <w:t xml:space="preserve"/>
      </w:r>
    </w:p>
    <w:p>
      <w:pPr>
        <w:jc w:val="both"/>
      </w:pPr>
      <w:r>
        <w:rPr/>
        <w:t xml:space="preserve">文章中还存在着片面报道和宣传内容。例如，在介绍ETF时，作者只是简单地说它们对绩效没有影响，并没有探讨ETF在整个共同基金市场中所扮演的角色以及其优缺点。</w:t>
      </w:r>
    </w:p>
    <w:p>
      <w:pPr>
        <w:jc w:val="both"/>
      </w:pPr>
      <w:r>
        <w:rPr/>
        <w:t xml:space="preserve"/>
      </w:r>
    </w:p>
    <w:p>
      <w:pPr>
        <w:jc w:val="both"/>
      </w:pPr>
      <w:r>
        <w:rPr/>
        <w:t xml:space="preserve">此外，在文章中也存在着未探索的反驳和缺失考虑点。例如，在分析IMF对AMF流量-绩效敏感性和流量波动性的影响时，作者没有考虑到其他可能的因素，如市场环境和投资者行为等。</w:t>
      </w:r>
    </w:p>
    <w:p>
      <w:pPr>
        <w:jc w:val="both"/>
      </w:pPr>
      <w:r>
        <w:rPr/>
        <w:t xml:space="preserve"/>
      </w:r>
    </w:p>
    <w:p>
      <w:pPr>
        <w:jc w:val="both"/>
      </w:pPr>
      <w:r>
        <w:rPr/>
        <w:t xml:space="preserve">总之，该文章存在着一些偏见和不足之处。读者需要对其内容进行深入思考，并结合其他来源的信息来形成自己的判断。</w:t>
      </w:r>
    </w:p>
    <w:p>
      <w:pPr>
        <w:pStyle w:val="Heading1"/>
      </w:pPr>
      <w:bookmarkStart w:id="5" w:name="_Toc5"/>
      <w:r>
        <w:t>Topics for further research:</w:t>
      </w:r>
      <w:bookmarkEnd w:id="5"/>
    </w:p>
    <w:p>
      <w:pPr>
        <w:spacing w:after="0"/>
        <w:numPr>
          <w:ilvl w:val="0"/>
          <w:numId w:val="2"/>
        </w:numPr>
      </w:pPr>
      <w:r>
        <w:rPr/>
        <w:t xml:space="preserve">Other types of mutual funds
</w:t>
      </w:r>
    </w:p>
    <w:p>
      <w:pPr>
        <w:spacing w:after="0"/>
        <w:numPr>
          <w:ilvl w:val="0"/>
          <w:numId w:val="2"/>
        </w:numPr>
      </w:pPr>
      <w:r>
        <w:rPr/>
        <w:t xml:space="preserve">Factors affecting fund performance beyond index vs active debate
</w:t>
      </w:r>
    </w:p>
    <w:p>
      <w:pPr>
        <w:spacing w:after="0"/>
        <w:numPr>
          <w:ilvl w:val="0"/>
          <w:numId w:val="2"/>
        </w:numPr>
      </w:pPr>
      <w:r>
        <w:rPr/>
        <w:t xml:space="preserve">Solutions to the moral hazard problem
</w:t>
      </w:r>
    </w:p>
    <w:p>
      <w:pPr>
        <w:spacing w:after="0"/>
        <w:numPr>
          <w:ilvl w:val="0"/>
          <w:numId w:val="2"/>
        </w:numPr>
      </w:pPr>
      <w:r>
        <w:rPr/>
        <w:t xml:space="preserve">Role and pros/cons of ETFs in the mutual fund market
</w:t>
      </w:r>
    </w:p>
    <w:p>
      <w:pPr>
        <w:spacing w:after="0"/>
        <w:numPr>
          <w:ilvl w:val="0"/>
          <w:numId w:val="2"/>
        </w:numPr>
      </w:pPr>
      <w:r>
        <w:rPr/>
        <w:t xml:space="preserve">Other factors affecting IMF's impact on fund flows and performance
</w:t>
      </w:r>
    </w:p>
    <w:p>
      <w:pPr>
        <w:numPr>
          <w:ilvl w:val="0"/>
          <w:numId w:val="2"/>
        </w:numPr>
      </w:pPr>
      <w:r>
        <w:rPr/>
        <w:t xml:space="preserve">Overall limitations and biases in the article</w:t>
      </w:r>
    </w:p>
    <w:p>
      <w:pPr>
        <w:pStyle w:val="Heading1"/>
      </w:pPr>
      <w:bookmarkStart w:id="6" w:name="_Toc6"/>
      <w:r>
        <w:t>Report location:</w:t>
      </w:r>
      <w:bookmarkEnd w:id="6"/>
    </w:p>
    <w:p>
      <w:hyperlink r:id="rId8" w:history="1">
        <w:r>
          <w:rPr>
            <w:color w:val="2980b9"/>
            <w:u w:val="single"/>
          </w:rPr>
          <w:t xml:space="preserve">https://www.fullpicture.app/item/f049eeef5b37c02420a6c02d26507e45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5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304405X23000260" TargetMode="External"/><Relationship Id="rId8" Type="http://schemas.openxmlformats.org/officeDocument/2006/relationships/hyperlink" Target="https://www.fullpicture.app/item/f049eeef5b37c02420a6c02d26507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2024-01-01T04:46:01+01:00</dcterms:created>
  <dcterms:modified xsi:type="dcterms:W3CDTF">2024-01-01T04:46:01+01:00</dcterms:modified>
</cp:coreProperties>
</file>

<file path=docProps/custom.xml><?xml version="1.0" encoding="utf-8"?>
<Properties xmlns="http://schemas.openxmlformats.org/officeDocument/2006/custom-properties" xmlns:vt="http://schemas.openxmlformats.org/officeDocument/2006/docPropsVTypes"/>
</file>