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 CytoSorb 进行血液吸附显示 ICU 感染性休克患者的 28 天全因死亡率与预期相比有所降低：倾向评分加权回顾性研究 - PMC</w:t>
      </w:r>
      <w:br/>
      <w:hyperlink r:id="rId7" w:history="1">
        <w:r>
          <w:rPr>
            <w:color w:val="2980b9"/>
            <w:u w:val="single"/>
          </w:rPr>
          <w:t xml:space="preserve">https://www.ncbi.nlm.nih.gov/pmc/articles/PMC6749645/</w:t>
        </w:r>
      </w:hyperlink>
    </w:p>
    <w:p>
      <w:pPr>
        <w:pStyle w:val="Heading1"/>
      </w:pPr>
      <w:bookmarkStart w:id="2" w:name="_Toc2"/>
      <w:r>
        <w:t>Article summary:</w:t>
      </w:r>
      <w:bookmarkEnd w:id="2"/>
    </w:p>
    <w:p>
      <w:pPr>
        <w:jc w:val="both"/>
      </w:pPr>
      <w:r>
        <w:rPr/>
        <w:t xml:space="preserve">1. 使用CytoSorb作为连续性肾脏替代疗法的附加疗法可以降低感染性休克患者的28天全因死亡率。</w:t>
      </w:r>
    </w:p>
    <w:p>
      <w:pPr>
        <w:jc w:val="both"/>
      </w:pPr>
      <w:r>
        <w:rPr/>
        <w:t xml:space="preserve">2. 通过稳定的治疗逆概率权重对患者进行加权，发现接受CytoSorb治疗的患者的28天死亡率显着降低。</w:t>
      </w:r>
    </w:p>
    <w:p>
      <w:pPr>
        <w:jc w:val="both"/>
      </w:pPr>
      <w:r>
        <w:rPr/>
        <w:t xml:space="preserve">3. CytoSorb组28天死亡率的独立预测因素包括存在肺脓痹、CytoSorb开始时乳酸水平较高和年龄较大。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这篇文章是一项回顾性研究，旨在评估使用CytoSorb进行血液吸附治疗对感染性休克患者的28天全因死亡率的影响。然而，文章存在一些潜在的偏见和问题。</w:t>
      </w:r>
    </w:p>
    <w:p>
      <w:pPr>
        <w:jc w:val="both"/>
      </w:pPr>
      <w:r>
        <w:rPr/>
        <w:t xml:space="preserve"/>
      </w:r>
    </w:p>
    <w:p>
      <w:pPr>
        <w:jc w:val="both"/>
      </w:pPr>
      <w:r>
        <w:rPr/>
        <w:t xml:space="preserve">首先，该研究是一项回顾性研究，只能观察到相关因素之间的关联，并不能确定因果关系。由于没有随机分配治疗组和对照组，可能存在未知的混杂因素对结果产生影响。</w:t>
      </w:r>
    </w:p>
    <w:p>
      <w:pPr>
        <w:jc w:val="both"/>
      </w:pPr>
      <w:r>
        <w:rPr/>
        <w:t xml:space="preserve"/>
      </w:r>
    </w:p>
    <w:p>
      <w:pPr>
        <w:jc w:val="both"/>
      </w:pPr>
      <w:r>
        <w:rPr/>
        <w:t xml:space="preserve">其次，文章提到CytoSorb治疗组在治疗开始时具有更高的乳酸水平、更低的平均动脉压和更高的去甲肾上腺素水平。这些基线特征差异可能导致结果偏倚，并且作者并未提供如何控制这些差异的详细信息。</w:t>
      </w:r>
    </w:p>
    <w:p>
      <w:pPr>
        <w:jc w:val="both"/>
      </w:pPr>
      <w:r>
        <w:rPr/>
        <w:t xml:space="preserve"/>
      </w:r>
    </w:p>
    <w:p>
      <w:pPr>
        <w:jc w:val="both"/>
      </w:pPr>
      <w:r>
        <w:rPr/>
        <w:t xml:space="preserve">此外，文章中提到CytoSorb组的实际28天死亡率为48%，而基于SOFA评分预测的死亡率为75%。然而，作者并未解释为什么实际死亡率低于预测值，并且也没有提供其他可能解释这种差异的数据或分析。</w:t>
      </w:r>
    </w:p>
    <w:p>
      <w:pPr>
        <w:jc w:val="both"/>
      </w:pPr>
      <w:r>
        <w:rPr/>
        <w:t xml:space="preserve"/>
      </w:r>
    </w:p>
    <w:p>
      <w:pPr>
        <w:jc w:val="both"/>
      </w:pPr>
      <w:r>
        <w:rPr/>
        <w:t xml:space="preserve">另一个问题是文章中使用了稳定的治疗逆概率权重（sIPTW）来对患者进行加权，以克服基线特征的差异。然而，作者并未提供关于如何计算和应用这些权重的详细信息，也没有讨论这种方法的局限性。</w:t>
      </w:r>
    </w:p>
    <w:p>
      <w:pPr>
        <w:jc w:val="both"/>
      </w:pPr>
      <w:r>
        <w:rPr/>
        <w:t xml:space="preserve"/>
      </w:r>
    </w:p>
    <w:p>
      <w:pPr>
        <w:jc w:val="both"/>
      </w:pPr>
      <w:r>
        <w:rPr/>
        <w:t xml:space="preserve">此外，文章中提到CytoSorb组的28天死亡率显着降低，但并未提供与单独使用CRRT相比的具体风险减少程度。没有提供绝对风险减少或相对风险减少的数据，使读者无法评估该治疗方法的实际效果。</w:t>
      </w:r>
    </w:p>
    <w:p>
      <w:pPr>
        <w:jc w:val="both"/>
      </w:pPr>
      <w:r>
        <w:rPr/>
        <w:t xml:space="preserve"/>
      </w:r>
    </w:p>
    <w:p>
      <w:pPr>
        <w:jc w:val="both"/>
      </w:pPr>
      <w:r>
        <w:rPr/>
        <w:t xml:space="preserve">最后，文章中没有探讨可能存在的副作用、不良事件或其他潜在风险。这种片面报道可能导致读者对该治疗方法的安全性和可行性缺乏全面了解。</w:t>
      </w:r>
    </w:p>
    <w:p>
      <w:pPr>
        <w:jc w:val="both"/>
      </w:pPr>
      <w:r>
        <w:rPr/>
        <w:t xml:space="preserve"/>
      </w:r>
    </w:p>
    <w:p>
      <w:pPr>
        <w:jc w:val="both"/>
      </w:pPr>
      <w:r>
        <w:rPr/>
        <w:t xml:space="preserve">总之，尽管该研究表明使用CytoSorb进行血液吸附治疗可能与感染性休克患者28天全因死亡率下降有关，但由于回顾性设计、基线特征差异、缺乏详细信息和未探索其他因素等问题，需要更多高质量、随机对照试验来验证这一发现。</w:t>
      </w:r>
    </w:p>
    <w:p>
      <w:pPr>
        <w:pStyle w:val="Heading1"/>
      </w:pPr>
      <w:bookmarkStart w:id="5" w:name="_Toc5"/>
      <w:r>
        <w:t>Topics for further research:</w:t>
      </w:r>
      <w:bookmarkEnd w:id="5"/>
    </w:p>
    <w:p>
      <w:pPr>
        <w:spacing w:after="0"/>
        <w:numPr>
          <w:ilvl w:val="0"/>
          <w:numId w:val="2"/>
        </w:numPr>
      </w:pPr>
      <w:r>
        <w:rPr/>
        <w:t xml:space="preserve">回顾性研究的局限性
</w:t>
      </w:r>
    </w:p>
    <w:p>
      <w:pPr>
        <w:spacing w:after="0"/>
        <w:numPr>
          <w:ilvl w:val="0"/>
          <w:numId w:val="2"/>
        </w:numPr>
      </w:pPr>
      <w:r>
        <w:rPr/>
        <w:t xml:space="preserve">基线特征差异的影响
</w:t>
      </w:r>
    </w:p>
    <w:p>
      <w:pPr>
        <w:spacing w:after="0"/>
        <w:numPr>
          <w:ilvl w:val="0"/>
          <w:numId w:val="2"/>
        </w:numPr>
      </w:pPr>
      <w:r>
        <w:rPr/>
        <w:t xml:space="preserve">实际死亡率低于预测值的解释
</w:t>
      </w:r>
    </w:p>
    <w:p>
      <w:pPr>
        <w:spacing w:after="0"/>
        <w:numPr>
          <w:ilvl w:val="0"/>
          <w:numId w:val="2"/>
        </w:numPr>
      </w:pPr>
      <w:r>
        <w:rPr/>
        <w:t xml:space="preserve">稳定的治疗逆概率权重的计算和应用
</w:t>
      </w:r>
    </w:p>
    <w:p>
      <w:pPr>
        <w:spacing w:after="0"/>
        <w:numPr>
          <w:ilvl w:val="0"/>
          <w:numId w:val="2"/>
        </w:numPr>
      </w:pPr>
      <w:r>
        <w:rPr/>
        <w:t xml:space="preserve">缺乏与单独使用CRRT相比的具体风险减少程度的数据
</w:t>
      </w:r>
    </w:p>
    <w:p>
      <w:pPr>
        <w:numPr>
          <w:ilvl w:val="0"/>
          <w:numId w:val="2"/>
        </w:numPr>
      </w:pPr>
      <w:r>
        <w:rPr/>
        <w:t xml:space="preserve">缺乏副作用和不良事件的讨论</w:t>
      </w:r>
    </w:p>
    <w:p>
      <w:pPr>
        <w:pStyle w:val="Heading1"/>
      </w:pPr>
      <w:bookmarkStart w:id="6" w:name="_Toc6"/>
      <w:r>
        <w:t>Report location:</w:t>
      </w:r>
      <w:bookmarkEnd w:id="6"/>
    </w:p>
    <w:p>
      <w:hyperlink r:id="rId8" w:history="1">
        <w:r>
          <w:rPr>
            <w:color w:val="2980b9"/>
            <w:u w:val="single"/>
          </w:rPr>
          <w:t xml:space="preserve">https://www.fullpicture.app/item/f0d78cadd2c95ce7d461d19bd6ef37df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6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49645/" TargetMode="External"/><Relationship Id="rId8" Type="http://schemas.openxmlformats.org/officeDocument/2006/relationships/hyperlink" Target="https://www.fullpicture.app/item/f0d78cadd2c95ce7d461d19bd6ef37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2024-06-25T07:19:46+02:00</dcterms:created>
  <dcterms:modified xsi:type="dcterms:W3CDTF">2024-06-25T07:19:46+02:00</dcterms:modified>
</cp:coreProperties>
</file>

<file path=docProps/custom.xml><?xml version="1.0" encoding="utf-8"?>
<Properties xmlns="http://schemas.openxmlformats.org/officeDocument/2006/custom-properties" xmlns:vt="http://schemas.openxmlformats.org/officeDocument/2006/docPropsVTypes"/>
</file>