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Drugs for Gram-Negative Bugs From 2010–2019: A Decade in Review | Open Forum Infectious Diseases | Oxford Academic</w:t>
      </w:r>
      <w:br/>
      <w:hyperlink r:id="rId7" w:history="1">
        <w:r>
          <w:rPr>
            <w:color w:val="2980b9"/>
            <w:u w:val="single"/>
          </w:rPr>
          <w:t xml:space="preserve">https://academic.oup.com/ofid/article/7/7/ofaa276/5867191?login=false</w:t>
        </w:r>
      </w:hyperlink>
    </w:p>
    <w:p>
      <w:pPr>
        <w:pStyle w:val="Heading1"/>
      </w:pPr>
      <w:bookmarkStart w:id="2" w:name="_Toc2"/>
      <w:r>
        <w:t>Article summary:</w:t>
      </w:r>
      <w:bookmarkEnd w:id="2"/>
    </w:p>
    <w:p>
      <w:pPr>
        <w:jc w:val="both"/>
      </w:pPr>
      <w:r>
        <w:rPr/>
        <w:t xml:space="preserve">1. A literature review was conducted to determine the scholarly activity in the area of gram-negative bacteria antimicrobial therapy from 2010-2019, using PubMed and ISI Web of Science databases.</w:t>
      </w:r>
    </w:p>
    <w:p>
      <w:pPr>
        <w:jc w:val="both"/>
      </w:pPr>
      <w:r>
        <w:rPr/>
        <w:t xml:space="preserve">2. The articles were categorized by antibiotic class to identify relative contributions to the literature by drug category.</w:t>
      </w:r>
    </w:p>
    <w:p>
      <w:pPr>
        <w:jc w:val="both"/>
      </w:pPr>
      <w:r>
        <w:rPr/>
        <w:t xml:space="preserve">3. The review highlights advances made in the past decade in antibacterial agents for Enterobacteriaceae, Acinetobacter, and Pseudomonas infections.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"Drugs for Gram-Negative Bugs From 2010–2019: A Decade in Review" provides a literature review of scholarly activity related to antimicrobial therapy for gram-negative bacteria from 2010 to 2019. The authors conducted a search using PubMed and ISI Web of Science databases and identified over 12,000 articles related to antibacterial agents, Enterobacteriaceae, Acinetobacter, and Pseudomonas.</w:t>
      </w:r>
    </w:p>
    <w:p>
      <w:pPr>
        <w:jc w:val="both"/>
      </w:pPr>
      <w:r>
        <w:rPr/>
        <w:t xml:space="preserve"/>
      </w:r>
    </w:p>
    <w:p>
      <w:pPr>
        <w:jc w:val="both"/>
      </w:pPr>
      <w:r>
        <w:rPr/>
        <w:t xml:space="preserve">Overall, the article provides a comprehensive overview of the research conducted in this area over the past decade. However, there are some potential biases and limitations that should be considered. For example, the authors only searched two databases and may have missed relevant studies published in other sources. Additionally, the study only focused on scholarly activity as reflected by the number of articles published and did not assess the quality or impact of these studies.</w:t>
      </w:r>
    </w:p>
    <w:p>
      <w:pPr>
        <w:jc w:val="both"/>
      </w:pPr>
      <w:r>
        <w:rPr/>
        <w:t xml:space="preserve"/>
      </w:r>
    </w:p>
    <w:p>
      <w:pPr>
        <w:jc w:val="both"/>
      </w:pPr>
      <w:r>
        <w:rPr/>
        <w:t xml:space="preserve">Furthermore, while the article categorizes studies by antibiotic class to identify relative contributions to the literature by drug category, it does not provide an in-depth analysis of each drug's efficacy or safety profile. This lack of detail could be seen as one-sided reporting that does not fully explore potential risks or benefits associated with different antibiotics.</w:t>
      </w:r>
    </w:p>
    <w:p>
      <w:pPr>
        <w:jc w:val="both"/>
      </w:pPr>
      <w:r>
        <w:rPr/>
        <w:t xml:space="preserve"/>
      </w:r>
    </w:p>
    <w:p>
      <w:pPr>
        <w:jc w:val="both"/>
      </w:pPr>
      <w:r>
        <w:rPr/>
        <w:t xml:space="preserve">Another limitation is that the article does not address potential counterarguments or alternative perspectives on antimicrobial therapy for gram-negative bacteria. For example, some experts argue that reducing antibiotic use overall is necessary to combat antibiotic resistance rather than developing new drugs.</w:t>
      </w:r>
    </w:p>
    <w:p>
      <w:pPr>
        <w:jc w:val="both"/>
      </w:pPr>
      <w:r>
        <w:rPr/>
        <w:t xml:space="preserve"/>
      </w:r>
    </w:p>
    <w:p>
      <w:pPr>
        <w:jc w:val="both"/>
      </w:pPr>
      <w:r>
        <w:rPr/>
        <w:t xml:space="preserve">Finally, it is worth noting that while the article does not contain overtly promotional content, it could be argued that its focus on scholarly activity related to antimicrobial therapy for gram-negative bacteria serves to promote continued research in this area rather than exploring alternative approaches to combating bacterial infections.</w:t>
      </w:r>
    </w:p>
    <w:p>
      <w:pPr>
        <w:jc w:val="both"/>
      </w:pPr>
      <w:r>
        <w:rPr/>
        <w:t xml:space="preserve"/>
      </w:r>
    </w:p>
    <w:p>
      <w:pPr>
        <w:jc w:val="both"/>
      </w:pPr>
      <w:r>
        <w:rPr/>
        <w:t xml:space="preserve">In conclusion, while "Drugs for Gram-Negative Bugs From 2010–2019: A Decade in Review" provides a useful overview of scholarly activity related to antimicrobial therapy for gram-negative bacteria over the past decade, it has some limitations and potential biases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Antibiotic resistance reduction strategies
</w:t>
      </w:r>
    </w:p>
    <w:p>
      <w:pPr>
        <w:spacing w:after="0"/>
        <w:numPr>
          <w:ilvl w:val="0"/>
          <w:numId w:val="2"/>
        </w:numPr>
      </w:pPr>
      <w:r>
        <w:rPr/>
        <w:t xml:space="preserve">Safety and efficacy profiles of specific antibiotics for gram-negative bacteria
</w:t>
      </w:r>
    </w:p>
    <w:p>
      <w:pPr>
        <w:spacing w:after="0"/>
        <w:numPr>
          <w:ilvl w:val="0"/>
          <w:numId w:val="2"/>
        </w:numPr>
      </w:pPr>
      <w:r>
        <w:rPr/>
        <w:t xml:space="preserve">Alternative approaches to antimicrobial therapy for bacterial infections
</w:t>
      </w:r>
    </w:p>
    <w:p>
      <w:pPr>
        <w:spacing w:after="0"/>
        <w:numPr>
          <w:ilvl w:val="0"/>
          <w:numId w:val="2"/>
        </w:numPr>
      </w:pPr>
      <w:r>
        <w:rPr/>
        <w:t xml:space="preserve">Mechanisms of antibiotic resistance in gram-negative bacteria
</w:t>
      </w:r>
    </w:p>
    <w:p>
      <w:pPr>
        <w:spacing w:after="0"/>
        <w:numPr>
          <w:ilvl w:val="0"/>
          <w:numId w:val="2"/>
        </w:numPr>
      </w:pPr>
      <w:r>
        <w:rPr/>
        <w:t xml:space="preserve">Antibiotic stewardship programs
</w:t>
      </w:r>
    </w:p>
    <w:p>
      <w:pPr>
        <w:numPr>
          <w:ilvl w:val="0"/>
          <w:numId w:val="2"/>
        </w:numPr>
      </w:pPr>
      <w:r>
        <w:rPr/>
        <w:t xml:space="preserve">Combination therapy for gram-negative bacterial infections</w:t>
      </w:r>
    </w:p>
    <w:p>
      <w:pPr>
        <w:pStyle w:val="Heading1"/>
      </w:pPr>
      <w:bookmarkStart w:id="6" w:name="_Toc6"/>
      <w:r>
        <w:t>Report location:</w:t>
      </w:r>
      <w:bookmarkEnd w:id="6"/>
    </w:p>
    <w:p>
      <w:hyperlink r:id="rId8" w:history="1">
        <w:r>
          <w:rPr>
            <w:color w:val="2980b9"/>
            <w:u w:val="single"/>
          </w:rPr>
          <w:t xml:space="preserve">https://www.fullpicture.app/item/f2aab01a8f74565c5467031c8338a02d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F77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ofid/article/7/7/ofaa276/5867191?login=false" TargetMode="External"/><Relationship Id="rId8" Type="http://schemas.openxmlformats.org/officeDocument/2006/relationships/hyperlink" Target="https://www.fullpicture.app/item/f2aab01a8f74565c5467031c8338a0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2023-12-23T16:07:45+01:00</dcterms:created>
  <dcterms:modified xsi:type="dcterms:W3CDTF">2023-12-23T16:07:45+01:00</dcterms:modified>
</cp:coreProperties>
</file>

<file path=docProps/custom.xml><?xml version="1.0" encoding="utf-8"?>
<Properties xmlns="http://schemas.openxmlformats.org/officeDocument/2006/custom-properties" xmlns:vt="http://schemas.openxmlformats.org/officeDocument/2006/docPropsVTypes"/>
</file>