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Code of Ethics: English</w:t>
      </w:r>
      <w:br/>
      <w:hyperlink r:id="rId7" w:history="1">
        <w:r>
          <w:rPr>
            <w:color w:val="2980b9"/>
            <w:u w:val="single"/>
          </w:rPr>
          <w:t xml:space="preserve">https://www.socialworkers.org/About/Ethics/Code-of-Ethics/Code-of-Ethics-English</w:t>
        </w:r>
      </w:hyperlink>
    </w:p>
    <w:p>
      <w:pPr>
        <w:pStyle w:val="Heading1"/>
      </w:pPr>
      <w:bookmarkStart w:id="2" w:name="_Toc2"/>
      <w:r>
        <w:t>Article summary:</w:t>
      </w:r>
      <w:bookmarkEnd w:id="2"/>
    </w:p>
    <w:p>
      <w:pPr>
        <w:jc w:val="both"/>
      </w:pPr>
      <w:r>
        <w:rPr/>
        <w:t xml:space="preserve">1. The primary mission of the social work profession is to enhance human well-being and meet the basic needs of all people, with a focus on vulnerable and oppressed populations.</w:t>
      </w:r>
    </w:p>
    <w:p>
      <w:pPr>
        <w:jc w:val="both"/>
      </w:pPr>
      <w:r>
        <w:rPr/>
        <w:t xml:space="preserve">2. Social workers promote social justice and social change through various forms of practice, including direct intervention, advocacy, policy development, and research.</w:t>
      </w:r>
    </w:p>
    <w:p>
      <w:pPr>
        <w:jc w:val="both"/>
      </w:pPr>
      <w:r>
        <w:rPr/>
        <w:t xml:space="preserve">3. The NASW Code of Ethics serves as a guide for social workers' conduct, outlining core values such as service, social justice, dignity and worth of the person, importance of human relationships, integrity, and competence.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"Code of Ethics: English" provides an overview of the National Association of Social Workers (NASW) Code of Ethics. While the article presents the code as a guiding document for social workers, it is important to critically analyze its content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its emphasis on social justice and social change. While these are important values in social work practice, the article does not adequately address potential conflicts that may arise when pursuing social justice. It does not explore how different perspectives on social justice can lead to ethical dilemmas or how social workers should navigate these complexities.</w:t>
      </w:r>
    </w:p>
    <w:p>
      <w:pPr>
        <w:jc w:val="both"/>
      </w:pPr>
      <w:r>
        <w:rPr/>
        <w:t xml:space="preserve"/>
      </w:r>
    </w:p>
    <w:p>
      <w:pPr>
        <w:jc w:val="both"/>
      </w:pPr>
      <w:r>
        <w:rPr/>
        <w:t xml:space="preserve">Additionally, the article promotes the idea that social workers should engage in pro bono service without significant financial return. While this may be an admirable goal, it fails to acknowledge the economic realities faced by many social workers who may struggle with low wages and high student loan debt. This omission undermines the practicality of this ethical principle.</w:t>
      </w:r>
    </w:p>
    <w:p>
      <w:pPr>
        <w:jc w:val="both"/>
      </w:pPr>
      <w:r>
        <w:rPr/>
        <w:t xml:space="preserve"/>
      </w:r>
    </w:p>
    <w:p>
      <w:pPr>
        <w:jc w:val="both"/>
      </w:pPr>
      <w:r>
        <w:rPr/>
        <w:t xml:space="preserve">The article also lacks evidence to support some of its claims. For example, it states that social workers strive to ensure access to needed information, services, and resources without providing examples or data on how this is achieved. Without supporting evidence or specific strategies mentioned in the code itself, readers are left questioning how these goals can be effectively implemented.</w:t>
      </w:r>
    </w:p>
    <w:p>
      <w:pPr>
        <w:jc w:val="both"/>
      </w:pPr>
      <w:r>
        <w:rPr/>
        <w:t xml:space="preserve"/>
      </w:r>
    </w:p>
    <w:p>
      <w:pPr>
        <w:jc w:val="both"/>
      </w:pPr>
      <w:r>
        <w:rPr/>
        <w:t xml:space="preserve">Furthermore, there is a lack of exploration of counterarguments or alternative perspectives throughout the article. By presenting only one side of the ethical principles outlined in the code without acknowledging potential criticisms or challenges, the article fails to provide a balanced view.</w:t>
      </w:r>
    </w:p>
    <w:p>
      <w:pPr>
        <w:jc w:val="both"/>
      </w:pPr>
      <w:r>
        <w:rPr/>
        <w:t xml:space="preserve"/>
      </w:r>
    </w:p>
    <w:p>
      <w:pPr>
        <w:jc w:val="both"/>
      </w:pPr>
      <w:r>
        <w:rPr/>
        <w:t xml:space="preserve">The promotional nature of the article is evident in its language and tone. It consistently presents the NASW Code of Ethics as a comprehensive and authoritative guide for all social workers without acknowledging any limitations or areas where further discussion may be needed.</w:t>
      </w:r>
    </w:p>
    <w:p>
      <w:pPr>
        <w:jc w:val="both"/>
      </w:pPr>
      <w:r>
        <w:rPr/>
        <w:t xml:space="preserve"/>
      </w:r>
    </w:p>
    <w:p>
      <w:pPr>
        <w:jc w:val="both"/>
      </w:pPr>
      <w:r>
        <w:rPr/>
        <w:t xml:space="preserve">Another concern is the article's failure to address potential risks or ethical challenges that may arise when using technology in social work practice. While it briefly mentions the need for social workers to be aware of challenges related to confidentiality and professional boundaries, it does not delve into the complexities of these issues or provide specific guidance on how to navigate them.</w:t>
      </w:r>
    </w:p>
    <w:p>
      <w:pPr>
        <w:jc w:val="both"/>
      </w:pPr>
      <w:r>
        <w:rPr/>
        <w:t xml:space="preserve"/>
      </w:r>
    </w:p>
    <w:p>
      <w:pPr>
        <w:jc w:val="both"/>
      </w:pPr>
      <w:r>
        <w:rPr/>
        <w:t xml:space="preserve">Overall, the article presents a one-sided view of the NASW Code of Ethics without critically examining its content or addressing potential limitations. It lacks evidence, fails to explore counterarguments, and promotes a singular perspective without acknowledging alternative viewpoints. A more balanced and critical analysis would have provided a more comprehensive understanding of the code and its implications for social work practice.</w:t>
      </w:r>
    </w:p>
    <w:p>
      <w:pPr>
        <w:pStyle w:val="Heading1"/>
      </w:pPr>
      <w:bookmarkStart w:id="5" w:name="_Toc5"/>
      <w:r>
        <w:t>Topics for further research:</w:t>
      </w:r>
      <w:bookmarkEnd w:id="5"/>
    </w:p>
    <w:p>
      <w:pPr>
        <w:spacing w:after="0"/>
        <w:numPr>
          <w:ilvl w:val="0"/>
          <w:numId w:val="2"/>
        </w:numPr>
      </w:pPr>
      <w:r>
        <w:rPr/>
        <w:t xml:space="preserve">Critiques of the NASW Code of Ethics
</w:t>
      </w:r>
    </w:p>
    <w:p>
      <w:pPr>
        <w:spacing w:after="0"/>
        <w:numPr>
          <w:ilvl w:val="0"/>
          <w:numId w:val="2"/>
        </w:numPr>
      </w:pPr>
      <w:r>
        <w:rPr/>
        <w:t xml:space="preserve">Conflicts in social work practice related to social justice
</w:t>
      </w:r>
    </w:p>
    <w:p>
      <w:pPr>
        <w:spacing w:after="0"/>
        <w:numPr>
          <w:ilvl w:val="0"/>
          <w:numId w:val="2"/>
        </w:numPr>
      </w:pPr>
      <w:r>
        <w:rPr/>
        <w:t xml:space="preserve">Economic challenges faced by social workers
</w:t>
      </w:r>
    </w:p>
    <w:p>
      <w:pPr>
        <w:spacing w:after="0"/>
        <w:numPr>
          <w:ilvl w:val="0"/>
          <w:numId w:val="2"/>
        </w:numPr>
      </w:pPr>
      <w:r>
        <w:rPr/>
        <w:t xml:space="preserve">Strategies for ensuring access to information</w:t>
      </w:r>
    </w:p>
    <w:p>
      <w:pPr>
        <w:spacing w:after="0"/>
        <w:numPr>
          <w:ilvl w:val="0"/>
          <w:numId w:val="2"/>
        </w:numPr>
      </w:pPr>
      <w:r>
        <w:rPr/>
        <w:t xml:space="preserve">services</w:t>
      </w:r>
    </w:p>
    <w:p>
      <w:pPr>
        <w:spacing w:after="0"/>
        <w:numPr>
          <w:ilvl w:val="0"/>
          <w:numId w:val="2"/>
        </w:numPr>
      </w:pPr>
      <w:r>
        <w:rPr/>
        <w:t xml:space="preserve">and resources in social work practice
</w:t>
      </w:r>
    </w:p>
    <w:p>
      <w:pPr>
        <w:spacing w:after="0"/>
        <w:numPr>
          <w:ilvl w:val="0"/>
          <w:numId w:val="2"/>
        </w:numPr>
      </w:pPr>
      <w:r>
        <w:rPr/>
        <w:t xml:space="preserve">Ethical challenges of using technology in social work
</w:t>
      </w:r>
    </w:p>
    <w:p>
      <w:pPr>
        <w:numPr>
          <w:ilvl w:val="0"/>
          <w:numId w:val="2"/>
        </w:numPr>
      </w:pPr>
      <w:r>
        <w:rPr/>
        <w:t xml:space="preserve">Alternative perspectives on social work ethics</w:t>
      </w:r>
    </w:p>
    <w:p>
      <w:pPr>
        <w:pStyle w:val="Heading1"/>
      </w:pPr>
      <w:bookmarkStart w:id="6" w:name="_Toc6"/>
      <w:r>
        <w:t>Report location:</w:t>
      </w:r>
      <w:bookmarkEnd w:id="6"/>
    </w:p>
    <w:p>
      <w:hyperlink r:id="rId8" w:history="1">
        <w:r>
          <w:rPr>
            <w:color w:val="2980b9"/>
            <w:u w:val="single"/>
          </w:rPr>
          <w:t xml:space="preserve">https://www.fullpicture.app/item/f3c833608866a1a0bc2d950de3f8c52f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F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ialworkers.org/About/Ethics/Code-of-Ethics/Code-of-Ethics-English" TargetMode="External"/><Relationship Id="rId8" Type="http://schemas.openxmlformats.org/officeDocument/2006/relationships/hyperlink" Target="https://www.fullpicture.app/item/f3c833608866a1a0bc2d950de3f8c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2024-01-21T21:07:16+01:00</dcterms:created>
  <dcterms:modified xsi:type="dcterms:W3CDTF">2024-01-21T21:07:16+01:00</dcterms:modified>
</cp:coreProperties>
</file>

<file path=docProps/custom.xml><?xml version="1.0" encoding="utf-8"?>
<Properties xmlns="http://schemas.openxmlformats.org/officeDocument/2006/custom-properties" xmlns:vt="http://schemas.openxmlformats.org/officeDocument/2006/docPropsVTypes"/>
</file>