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Risk factors of levodopa-induced dyskinesia in Parkinson’s disease: results from the PPMI cohort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https://www.ncbi.nlm.nih.gov/pmc/articles/PMC6240081/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Levodopa-induced dyskinesias (LID) negatively impact the quality of life of patients with Parkinson’s disease (PD).</w:t>
      </w:r>
    </w:p>
    <w:p>
      <w:pPr>
        <w:jc w:val="both"/>
      </w:pPr>
      <w:r>
        <w:rPr/>
        <w:t xml:space="preserve">2. Risk factors for LID development in de novo PD patients include female gender, severity of motor and functional impairment, non-tremor dominant clinical phenotype, genetic risk score, anxiety, and marked caudate asymmetric pattern at DaTscan at baseline.</w:t>
      </w:r>
    </w:p>
    <w:p>
      <w:pPr>
        <w:jc w:val="both"/>
      </w:pPr>
      <w:r>
        <w:rPr/>
        <w:t xml:space="preserve">3. The Parkinson’s Progression Markers Initiative (PPMI) is a large-scale international prospective observational study designed to identify markers of disease progression in de novo PD patients.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该文章是一项研究，旨在评估帕金森病患者发生左旋多巴引起的运动障碍（LID）的风险因素。然而，该文章存在一些偏见和缺失的考虑点。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首先，该研究只针对PPMI队列中的患者进行了回顾性分析，这可能导致选择偏差。此外，该研究没有考虑其他可能影响LID发生的因素，如非药物治疗、饮食和环境因素等。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结果部分中，作者提到女性、功能不完全独立、MDS-UPDRS第III部分得分高、姿势不稳定步态障碍或中间表型、DaTscan尾状核不对称指数高、多基因遗传风险评分高以及焦虑情绪是LID发生的预测因素。然而，这些结果并没有得到充分证明，并且有些结论与之前的研究结果相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讨论部分中，作者提到了一些限制和未来方向。但是，他们没有探讨其他可能解释他们所观察到的结果的原因。例如，在DaTscan尾状核不对称指数方面，作者没有考虑其他可能影响该指数的因素，如年龄、性别和疾病持续时间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最后，该文章没有平等地呈现双方。作者只关注了LID的风险因素，而没有探讨如何预防或治疗LID。此外，他们没有提到任何可能存在的副作用或风险。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总之，该文章存在一些偏见和缺失的考虑点，并且需要更多的研究来证实其结论。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Selection bias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influencing LID occurrence
</w:t>
      </w:r>
    </w:p>
    <w:p>
      <w:pPr>
        <w:spacing w:after="0"/>
        <w:numPr>
          <w:ilvl w:val="0"/>
          <w:numId w:val="2"/>
        </w:numPr>
      </w:pPr>
      <w:r>
        <w:rPr/>
        <w:t xml:space="preserve">Lack of sufficient evidence for the predictive factors
</w:t>
      </w:r>
    </w:p>
    <w:p>
      <w:pPr>
        <w:spacing w:after="0"/>
        <w:numPr>
          <w:ilvl w:val="0"/>
          <w:numId w:val="2"/>
        </w:numPr>
      </w:pPr>
      <w:r>
        <w:rPr/>
        <w:t xml:space="preserve">Failure to explore alternative explanations for the observed results
</w:t>
      </w:r>
    </w:p>
    <w:p>
      <w:pPr>
        <w:spacing w:after="0"/>
        <w:numPr>
          <w:ilvl w:val="0"/>
          <w:numId w:val="2"/>
        </w:numPr>
      </w:pPr>
      <w:r>
        <w:rPr/>
        <w:t xml:space="preserve">Lack of discussion on prevention or treatment of LID
</w:t>
      </w:r>
    </w:p>
    <w:p>
      <w:pPr>
        <w:numPr>
          <w:ilvl w:val="0"/>
          <w:numId w:val="2"/>
        </w:numPr>
      </w:pPr>
      <w:r>
        <w:rPr/>
        <w:t xml:space="preserve">Absence of mention of potential side effects or risks.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https://www.fullpicture.app/item/f41bfbd255dddaf5160cd1e3d2d42f1a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09E9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6240081/" TargetMode="External"/><Relationship Id="rId8" Type="http://schemas.openxmlformats.org/officeDocument/2006/relationships/hyperlink" Target="https://www.fullpicture.app/item/f41bfbd255dddaf5160cd1e3d2d42f1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2023-09-18T14:43:03+02:00</dcterms:created>
  <dcterms:modified xsi:type="dcterms:W3CDTF">2023-09-18T14:43:03+02:00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