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Full article: Empirical Goodwill Research: Insights, Issues, and Implications for Standard Setting and Future Research</w:t>
      </w:r>
      <w:br/>
      <w:hyperlink r:id="rId7" w:history="1">
        <w:r>
          <w:rPr>
            <w:color w:val="2980b9"/>
            <w:u w:val="single"/>
          </w:rPr>
          <w:t xml:space="preserve">https://www.tandfonline.com/doi/full/10.1080/09638180.2021.1983854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回顾了商誉报告的实证文献，旨在系统概述这一重要且动态的会计研究领域，并对现有研究进行批判性评估，指出其中存在的缺陷和有效性问题。文章总结了实证研究对商誉报告标准制定的启示和影响，并提出未来研究的方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商誉是高度重要的资产，通常代表公司资产负债表上最大的项目之一。商誉会计高度自由裁量，因此成为测试财务报告理论（例如与会计信息决策有关的理论和报告选择决定因素）的“极端案例”。商誉会计及其仅减值方法（IOA）是一个深受争议的会计政策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总结了79项高质量商誉实证研究，涵盖核心问题：认可和商誉资产性质、购买价格分配和商誉初始计量、后续计量和商誉减值测试效力、披露以及公司治理、审计等监督机制对商誉相关报告决策的调节作用。文章指出当前商誉会计规则似乎受到激励因素影响，但并不清楚这是否构成问题。未来研究可以探讨预期未来收益风险、使商誉金额更或不那么适用于债务合同等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作为一篇综述性文章，本文对商誉会计的现状和相关研究进行了概述和总结。然而，在其内容中存在一些潜在的偏见和不足之处。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首先，本文强调商誉是高度重要的，但并没有提及商誉可能被过度估值或低估值的风险。这种偏见可能导致读者忽略了商誉会计存在的实际问题。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其次，本文认为商誉会计高度自由裁量，但并未探讨管理层如何行使这种自由裁量权利以达到其目标。这种片面报道可能导致读者对管理层行为的理解不够全面。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此外，本文指出商誉会计存在有效性问题，并提供了一些解决方案。然而，它并未深入探讨这些问题如何影响研究结果和政策制定。因此，读者需要谨慎地评估所提供的建议。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最后，本文没有平等地呈现双方观点，并且缺乏反驳其他观点的证据。这种偏袒可能导致读者对商誉会计争议性问题的理解不够全面。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综上所述，虽然本文提供了有价值的信息和建议，但仍需谨慎评估其内容，并考虑其他观点和证据。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商誉估值风险
</w:t>
      </w:r>
    </w:p>
    <w:p>
      <w:pPr>
        <w:spacing w:after="0"/>
        <w:numPr>
          <w:ilvl w:val="0"/>
          <w:numId w:val="2"/>
        </w:numPr>
      </w:pPr>
      <w:r>
        <w:rPr/>
        <w:t xml:space="preserve">管理层自由裁量权利的影响
</w:t>
      </w:r>
    </w:p>
    <w:p>
      <w:pPr>
        <w:spacing w:after="0"/>
        <w:numPr>
          <w:ilvl w:val="0"/>
          <w:numId w:val="2"/>
        </w:numPr>
      </w:pPr>
      <w:r>
        <w:rPr/>
        <w:t xml:space="preserve">商誉会计有效性问题的影响
</w:t>
      </w:r>
    </w:p>
    <w:p>
      <w:pPr>
        <w:spacing w:after="0"/>
        <w:numPr>
          <w:ilvl w:val="0"/>
          <w:numId w:val="2"/>
        </w:numPr>
      </w:pPr>
      <w:r>
        <w:rPr/>
        <w:t xml:space="preserve">其他观点和证据的缺乏
</w:t>
      </w:r>
    </w:p>
    <w:p>
      <w:pPr>
        <w:spacing w:after="0"/>
        <w:numPr>
          <w:ilvl w:val="0"/>
          <w:numId w:val="2"/>
        </w:numPr>
      </w:pPr>
      <w:r>
        <w:rPr/>
        <w:t xml:space="preserve">商誉会计的争议性问题
</w:t>
      </w:r>
    </w:p>
    <w:p>
      <w:pPr>
        <w:numPr>
          <w:ilvl w:val="0"/>
          <w:numId w:val="2"/>
        </w:numPr>
      </w:pPr>
      <w:r>
        <w:rPr/>
        <w:t xml:space="preserve">谨慎评估文章内容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https://www.fullpicture.app/item/f4a6c25cfdf0c0a4ee5ae359cdb7a312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E7BF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dfonline.com/doi/full/10.1080/09638180.2021.1983854" TargetMode="External"/><Relationship Id="rId8" Type="http://schemas.openxmlformats.org/officeDocument/2006/relationships/hyperlink" Target="https://www.fullpicture.app/item/f4a6c25cfdf0c0a4ee5ae359cdb7a31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2023-12-05T12:15:20+01:00</dcterms:created>
  <dcterms:modified xsi:type="dcterms:W3CDTF">2023-12-05T12:15:20+01:00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