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10年期国债收益率创3年以来新低，鹏扬30年国债ETF（511090）23日小幅上涨_基金频道_证券之星</w:t>
      </w:r>
      <w:br/>
      <w:hyperlink r:id="rId7" w:history="1">
        <w:r>
          <w:rPr>
            <w:color w:val="2980b9"/>
            <w:u w:val="single"/>
          </w:rPr>
          <w:t xml:space="preserve">https://fund.stockstar.com/SS2023082300012742.shtml</w:t>
        </w:r>
      </w:hyperlink>
    </w:p>
    <w:p>
      <w:pPr>
        <w:pStyle w:val="Heading1"/>
      </w:pPr>
      <w:bookmarkStart w:id="2" w:name="_Toc2"/>
      <w:r>
        <w:t>Article summary:</w:t>
      </w:r>
      <w:bookmarkEnd w:id="2"/>
    </w:p>
    <w:p>
      <w:pPr>
        <w:jc w:val="both"/>
      </w:pPr>
      <w:r>
        <w:rPr/>
        <w:t xml:space="preserve">1. 10年期国债收益率创3年以来新低：文章提到，截至8月22日收盘，10年期国债收益率为2.5485%，达到了三年来的最低水平。这表明国内债券市场持续波动，并且受到了央行宽松货币政策和股市疲软的影响。</w:t>
      </w:r>
    </w:p>
    <w:p>
      <w:pPr>
        <w:jc w:val="both"/>
      </w:pPr>
      <w:r>
        <w:rPr/>
        <w:t xml:space="preserve"/>
      </w:r>
    </w:p>
    <w:p>
      <w:pPr>
        <w:jc w:val="both"/>
      </w:pPr>
      <w:r>
        <w:rPr/>
        <w:t xml:space="preserve">2. 鹏扬30年国债ETF（511090）小幅上涨：文章指出，鹏扬30年国债ETF在8月23日上涨了0.05%。作为市场上发行的第一个超长期国债ETF产品，该基金追踪30年期国债指数，具有较高的稀缺性和交易属性。</w:t>
      </w:r>
    </w:p>
    <w:p>
      <w:pPr>
        <w:jc w:val="both"/>
      </w:pPr>
      <w:r>
        <w:rPr/>
        <w:t xml:space="preserve"/>
      </w:r>
    </w:p>
    <w:p>
      <w:pPr>
        <w:jc w:val="both"/>
      </w:pPr>
      <w:r>
        <w:rPr/>
        <w:t xml:space="preserve">3. 中央政府提出减轻地方隐性债务风险计划：文章提到，近期中央政府首次提出了一揽子减轻地方隐性债务风险的计划。目前，监管机构已初步批准了相关计划和配额，并且下半年可能重新启动特别再融资债券发行，规模约为1.5万亿元人民币。此外，中央银行还可能设立紧急流动性金融工具（SPV），通过该工具向地方城市投资提供流动性支持，利率较低、期限较长。这些政策的出台将在一定程度上支持城市投资平台解决当前的流动性风险。</w:t>
      </w:r>
    </w:p>
    <w:p>
      <w:pPr>
        <w:jc w:val="both"/>
      </w:pPr>
      <w:r>
        <w:rPr/>
        <w:t xml:space="preserve"/>
      </w:r>
    </w:p>
    <w:p>
      <w:pPr>
        <w:jc w:val="both"/>
      </w:pPr>
      <w:r>
        <w:rPr/>
        <w:t xml:space="preserve">总结：文章主要讨论了国内债券市场的情况，包括10年期国债收益率创新低、鹏扬30年国债ETF小幅上涨以及中央政府减轻地方隐性债务风险计划。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这篇文章主要报道了鹏扬30年国债ETF在8月23日小幅上涨，并提到了国债收益率创下3年以来新低的情况。然而，这篇文章存在一些潜在的偏见和问题。</w:t>
      </w:r>
    </w:p>
    <w:p>
      <w:pPr>
        <w:jc w:val="both"/>
      </w:pPr>
      <w:r>
        <w:rPr/>
        <w:t xml:space="preserve"/>
      </w:r>
    </w:p>
    <w:p>
      <w:pPr>
        <w:jc w:val="both"/>
      </w:pPr>
      <w:r>
        <w:rPr/>
        <w:t xml:space="preserve">首先，文章没有提供关于为什么国债收益率创下新低的详细解释。它只是简单地提到了央行最近进行了逆回购操作，并且中央政府提出了减少债务的计划。但是，没有进一步探讨这些因素如何影响国债市场和利率水平。</w:t>
      </w:r>
    </w:p>
    <w:p>
      <w:pPr>
        <w:jc w:val="both"/>
      </w:pPr>
      <w:r>
        <w:rPr/>
        <w:t xml:space="preserve"/>
      </w:r>
    </w:p>
    <w:p>
      <w:pPr>
        <w:jc w:val="both"/>
      </w:pPr>
      <w:r>
        <w:rPr/>
        <w:t xml:space="preserve">其次，文章没有提供对其他可能影响国债市场的因素的考虑。例如，全球经济放缓、贸易战争、地缘政治风险等都可能对国债市场产生重大影响，但这些因素在文章中并未被提及。</w:t>
      </w:r>
    </w:p>
    <w:p>
      <w:pPr>
        <w:jc w:val="both"/>
      </w:pPr>
      <w:r>
        <w:rPr/>
        <w:t xml:space="preserve"/>
      </w:r>
    </w:p>
    <w:p>
      <w:pPr>
        <w:jc w:val="both"/>
      </w:pPr>
      <w:r>
        <w:rPr/>
        <w:t xml:space="preserve">此外，文章还存在宣传内容和偏袒的问题。它强调鹏扬30年国债ETF作为市场上唯一跟踪30年期国债指数的ETF产品具有显著稀缺性，并称其值得投资者关注。然而，这种推广性语言可能会误导读者，并忽略其他可用的投资选择。</w:t>
      </w:r>
    </w:p>
    <w:p>
      <w:pPr>
        <w:jc w:val="both"/>
      </w:pPr>
      <w:r>
        <w:rPr/>
        <w:t xml:space="preserve"/>
      </w:r>
    </w:p>
    <w:p>
      <w:pPr>
        <w:jc w:val="both"/>
      </w:pPr>
      <w:r>
        <w:rPr/>
        <w:t xml:space="preserve">最后，文章没有平等地呈现双方观点。它只提供了对国债市场的积极看法，而没有探讨可能的风险和潜在的负面影响。</w:t>
      </w:r>
    </w:p>
    <w:p>
      <w:pPr>
        <w:jc w:val="both"/>
      </w:pPr>
      <w:r>
        <w:rPr/>
        <w:t xml:space="preserve"/>
      </w:r>
    </w:p>
    <w:p>
      <w:pPr>
        <w:jc w:val="both"/>
      </w:pPr>
      <w:r>
        <w:rPr/>
        <w:t xml:space="preserve">综上所述，这篇文章存在一些问题，包括缺乏详细解释、片面报道、宣传内容和偏袒等。读者应该保持批判性思维，并寻找更全面和客观的信息来评估国债市场的情况。</w:t>
      </w:r>
    </w:p>
    <w:p>
      <w:pPr>
        <w:pStyle w:val="Heading1"/>
      </w:pPr>
      <w:bookmarkStart w:id="5" w:name="_Toc5"/>
      <w:r>
        <w:t>Topics for further research:</w:t>
      </w:r>
      <w:bookmarkEnd w:id="5"/>
    </w:p>
    <w:p>
      <w:pPr>
        <w:spacing w:after="0"/>
        <w:numPr>
          <w:ilvl w:val="0"/>
          <w:numId w:val="2"/>
        </w:numPr>
      </w:pPr>
      <w:r>
        <w:rPr/>
        <w:t xml:space="preserve">国债收益率的影响因素
</w:t>
      </w:r>
    </w:p>
    <w:p>
      <w:pPr>
        <w:spacing w:after="0"/>
        <w:numPr>
          <w:ilvl w:val="0"/>
          <w:numId w:val="2"/>
        </w:numPr>
      </w:pPr>
      <w:r>
        <w:rPr/>
        <w:t xml:space="preserve">其他可能影响国债市场的因素
</w:t>
      </w:r>
    </w:p>
    <w:p>
      <w:pPr>
        <w:spacing w:after="0"/>
        <w:numPr>
          <w:ilvl w:val="0"/>
          <w:numId w:val="2"/>
        </w:numPr>
      </w:pPr>
      <w:r>
        <w:rPr/>
        <w:t xml:space="preserve">鹏扬30年国债ETF的稀缺性和其他投资选择
</w:t>
      </w:r>
    </w:p>
    <w:p>
      <w:pPr>
        <w:spacing w:after="0"/>
        <w:numPr>
          <w:ilvl w:val="0"/>
          <w:numId w:val="2"/>
        </w:numPr>
      </w:pPr>
      <w:r>
        <w:rPr/>
        <w:t xml:space="preserve">平等呈现双方观点的重要性
</w:t>
      </w:r>
    </w:p>
    <w:p>
      <w:pPr>
        <w:spacing w:after="0"/>
        <w:numPr>
          <w:ilvl w:val="0"/>
          <w:numId w:val="2"/>
        </w:numPr>
      </w:pPr>
      <w:r>
        <w:rPr/>
        <w:t xml:space="preserve">国债市场的风险和负面影响
</w:t>
      </w:r>
    </w:p>
    <w:p>
      <w:pPr>
        <w:numPr>
          <w:ilvl w:val="0"/>
          <w:numId w:val="2"/>
        </w:numPr>
      </w:pPr>
      <w:r>
        <w:rPr/>
        <w:t xml:space="preserve">寻找更全面和客观的信息来评估国债市场的情况</w:t>
      </w:r>
    </w:p>
    <w:p>
      <w:pPr>
        <w:pStyle w:val="Heading1"/>
      </w:pPr>
      <w:bookmarkStart w:id="6" w:name="_Toc6"/>
      <w:r>
        <w:t>Report location:</w:t>
      </w:r>
      <w:bookmarkEnd w:id="6"/>
    </w:p>
    <w:p>
      <w:hyperlink r:id="rId8" w:history="1">
        <w:r>
          <w:rPr>
            <w:color w:val="2980b9"/>
            <w:u w:val="single"/>
          </w:rPr>
          <w:t xml:space="preserve">https://www.fullpicture.app/item/f4ace03816d693644f670d1bdbebecbc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9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stockstar.com/SS2023082300012742.shtml" TargetMode="External"/><Relationship Id="rId8" Type="http://schemas.openxmlformats.org/officeDocument/2006/relationships/hyperlink" Target="https://www.fullpicture.app/item/f4ace03816d693644f670d1bdbebec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2023-09-04T12:33:22+02:00</dcterms:created>
  <dcterms:modified xsi:type="dcterms:W3CDTF">2023-09-04T12:33:22+02:00</dcterms:modified>
</cp:coreProperties>
</file>

<file path=docProps/custom.xml><?xml version="1.0" encoding="utf-8"?>
<Properties xmlns="http://schemas.openxmlformats.org/officeDocument/2006/custom-properties" xmlns:vt="http://schemas.openxmlformats.org/officeDocument/2006/docPropsVTypes"/>
</file>