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Measuring the Value of New Drugs: Validity and Reliability of 4 Value Assessment Frameworks in the Oncology Setting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https://www.ncbi.nlm.nih.gov/pmc/articles/PMC10585824/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本研究评估了4个价值评估框架在肿瘤学领域中的有效性和可靠性，以了解这些工具在基于价值的治疗决策中的作用程度。</w:t>
      </w:r>
    </w:p>
    <w:p>
      <w:pPr>
        <w:jc w:val="both"/>
      </w:pPr>
      <w:r>
        <w:rPr/>
        <w:t xml:space="preserve">2. 研究使用美国临床肿瘤学会（ASCO）、欧洲医学肿瘤学会（ESMO）、临床与经济评估研究所（ICER）和全国综合癌症网络（NCCN）的框架对15种针对晚期肺癌、乳腺癌和去势难治性前列腺癌的药物进行了价值评估。</w:t>
      </w:r>
    </w:p>
    <w:p>
      <w:pPr>
        <w:jc w:val="both"/>
      </w:pPr>
      <w:r>
        <w:rPr/>
        <w:t xml:space="preserve">3. 结果显示，这4个框架在不同类型的癌症药物中具有一定的一致性和可靠性，但在特定领域上存在差异。此外，NCCN提供了最窄范围的分数。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这篇文章主要评估了4个价值评估框架在肿瘤学领域中的有效性和可靠性，以衡量新药的价值。然而，文章存在一些潜在的偏见和问题。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首先，文章没有提及作者或研究团队的利益冲突。这可能导致读者对作者的立场和动机产生怀疑。如果作者与某个药企有关联，他们可能会倾向于支持该公司的产品，并且可能会对其他竞争产品持有偏见。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其次，文章没有提供关于样本选择过程的详细信息。如何选择这八位专家进行评估？他们是否具备足够的专业知识和经验来进行准确评估？如果样本选择不合理或者专家组成不均衡，那么结果就可能受到影响。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此外，文章没有提供关于数据来源和质量的详细信息。评估新药的价值需要依赖于可靠和准确的临床数据。如果使用了低质量或不完整的数据，那么结果就可能是片面或不准确的。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另外，文章没有探讨各个框架之间存在差异的原因。为什么在某些方面一个框架得分较高，而在其他方面得分较低？这可能是由于不同框架对价值的定义和权重设置不同，但文章没有深入探讨这些因素。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评估过程中可能存在的偏见和错误的讨论。评估药物的价值是一个复杂的过程，涉及到主观判断和个人偏好。作者没有讨论评估过程中可能存在的潜在偏见，并且没有提供任何方法来减少这些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关于结果如何应用于实际临床决策的讨论。虽然评估药物的价值是重要的，但最终决策是否使用某种药物还需要考虑其他因素，如患者特征、成本效益等。文章没有探讨如何将这些评估结果与实际临床决策相结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综上所述，这篇文章存在一些潜在的偏见和问题，包括利益冲突、样本选择、数据质量、框架差异、评估过程中的偏见以及结果应用等方面。读者需要谨慎对待该研究结果，并考虑其他相关因素进行综合判断。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作者利益冲突
</w:t>
      </w:r>
    </w:p>
    <w:p>
      <w:pPr>
        <w:spacing w:after="0"/>
        <w:numPr>
          <w:ilvl w:val="0"/>
          <w:numId w:val="2"/>
        </w:numPr>
      </w:pPr>
      <w:r>
        <w:rPr/>
        <w:t xml:space="preserve">样本选择过程
</w:t>
      </w:r>
    </w:p>
    <w:p>
      <w:pPr>
        <w:spacing w:after="0"/>
        <w:numPr>
          <w:ilvl w:val="0"/>
          <w:numId w:val="2"/>
        </w:numPr>
      </w:pPr>
      <w:r>
        <w:rPr/>
        <w:t xml:space="preserve">数据来源和质量
</w:t>
      </w:r>
    </w:p>
    <w:p>
      <w:pPr>
        <w:spacing w:after="0"/>
        <w:numPr>
          <w:ilvl w:val="0"/>
          <w:numId w:val="2"/>
        </w:numPr>
      </w:pPr>
      <w:r>
        <w:rPr/>
        <w:t xml:space="preserve">框架之间的差异
</w:t>
      </w:r>
    </w:p>
    <w:p>
      <w:pPr>
        <w:spacing w:after="0"/>
        <w:numPr>
          <w:ilvl w:val="0"/>
          <w:numId w:val="2"/>
        </w:numPr>
      </w:pPr>
      <w:r>
        <w:rPr/>
        <w:t xml:space="preserve">评估过程中的偏见和错误
</w:t>
      </w:r>
    </w:p>
    <w:p>
      <w:pPr>
        <w:numPr>
          <w:ilvl w:val="0"/>
          <w:numId w:val="2"/>
        </w:numPr>
      </w:pPr>
      <w:r>
        <w:rPr/>
        <w:t xml:space="preserve">结果在实际临床决策中的应用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https://www.fullpicture.app/item/f4c31eea34b5bfea63feeba6c14d222c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0DAF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10585824/" TargetMode="External"/><Relationship Id="rId8" Type="http://schemas.openxmlformats.org/officeDocument/2006/relationships/hyperlink" Target="https://www.fullpicture.app/item/f4c31eea34b5bfea63feeba6c14d222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2024-05-08T08:06:15+02:00</dcterms:created>
  <dcterms:modified xsi:type="dcterms:W3CDTF">2024-05-08T08:06:15+02:00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