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 finance: how can it help Chinese power enterprises transition towards carbon neutrality - PubMed</w:t>
      </w:r>
      <w:br/>
      <w:hyperlink r:id="rId7" w:history="1">
        <w:r>
          <w:rPr>
            <w:color w:val="2980b9"/>
            <w:u w:val="single"/>
          </w:rPr>
          <w:t xml:space="preserve">https://pubmed.ncbi.nlm.nih.gov/36717412/</w:t>
        </w:r>
      </w:hyperlink>
    </w:p>
    <w:p>
      <w:pPr>
        <w:pStyle w:val="Heading1"/>
      </w:pPr>
      <w:bookmarkStart w:id="2" w:name="_Toc2"/>
      <w:r>
        <w:t>Article summary:</w:t>
      </w:r>
      <w:bookmarkEnd w:id="2"/>
    </w:p>
    <w:p>
      <w:pPr>
        <w:jc w:val="both"/>
      </w:pPr>
      <w:r>
        <w:rPr/>
        <w:t xml:space="preserve">1. 中国电力企业必须在2060年前将碳排放削减90%以实现碳中和目标，绿色金融作为可持续发展的重要环节备受关注，被认为是推动电力企业绿色转型的机制。</w:t>
      </w:r>
    </w:p>
    <w:p>
      <w:pPr>
        <w:jc w:val="both"/>
      </w:pPr>
      <w:r>
        <w:rPr/>
        <w:t xml:space="preserve"/>
      </w:r>
    </w:p>
    <w:p>
      <w:pPr>
        <w:jc w:val="both"/>
      </w:pPr>
      <w:r>
        <w:rPr/>
        <w:t xml:space="preserve">2. 论文讨论了设计用于支持电力企业绿色转型的财政和金融支持机制方案，加强绿色金融的融资机制，并促进碳交易的金融支持机制。通过定义绿色金融对清洁能源电力企业和高污染电力企业的影响路径，评估了电力企业对绿色金融的利用情况。</w:t>
      </w:r>
    </w:p>
    <w:p>
      <w:pPr>
        <w:jc w:val="both"/>
      </w:pPr>
      <w:r>
        <w:rPr/>
        <w:t xml:space="preserve"/>
      </w:r>
    </w:p>
    <w:p>
      <w:pPr>
        <w:jc w:val="both"/>
      </w:pPr>
      <w:r>
        <w:rPr/>
        <w:t xml:space="preserve">3. 研究结果显示，中国主要清洁能源来源在2060年将占总发电量的86.85%，而有了绿色金融支持后，煤炭发电将在2056年左右下降至0%，水电、风能和光伏发电分别占发电来源的11.81%、50.00%和38.19%，并且绿色金融将推动重要技术变革，从根本上纠正“三废”现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中国电力企业如何通过绿色金融实现向碳中和转型进行了深入探讨，但也存在一些潜在的偏见和局限性。首先，文章似乎过分强调了绿色金融对于电力企业转型的积极作用，而未充分探讨可能存在的风险和挑战。绿色金融虽然可以提供资金支持，但并不是万能的解决方案，其实际效果可能受到政策执行、市场变化等因素的影响。</w:t>
      </w:r>
    </w:p>
    <w:p>
      <w:pPr>
        <w:jc w:val="both"/>
      </w:pPr>
      <w:r>
        <w:rPr/>
        <w:t xml:space="preserve"/>
      </w:r>
    </w:p>
    <w:p>
      <w:pPr>
        <w:jc w:val="both"/>
      </w:pPr>
      <w:r>
        <w:rPr/>
        <w:t xml:space="preserve">其次，文章在讨论绿色金融对电力企业影响时，并未充分考虑到可能存在的利益冲突和利益输送问题。在实践中，绿色金融可能会导致资源配置不均衡、产业结构调整困难等问题，这些方面也需要进行深入分析。</w:t>
      </w:r>
    </w:p>
    <w:p>
      <w:pPr>
        <w:jc w:val="both"/>
      </w:pPr>
      <w:r>
        <w:rPr/>
        <w:t xml:space="preserve"/>
      </w:r>
    </w:p>
    <w:p>
      <w:pPr>
        <w:jc w:val="both"/>
      </w:pPr>
      <w:r>
        <w:rPr/>
        <w:t xml:space="preserve">此外，文章提出了一些关于改善电力行业绿色生产技术以提高总体生产率的建议，但并未提供具体证据或案例来支撑这些主张。缺乏实证数据支持使得这些建议显得缺乏说服力。</w:t>
      </w:r>
    </w:p>
    <w:p>
      <w:pPr>
        <w:jc w:val="both"/>
      </w:pPr>
      <w:r>
        <w:rPr/>
        <w:t xml:space="preserve"/>
      </w:r>
    </w:p>
    <w:p>
      <w:pPr>
        <w:jc w:val="both"/>
      </w:pPr>
      <w:r>
        <w:rPr/>
        <w:t xml:space="preserve">最后，在展望未来时，文章过于乐观地预测了中国清洁能源发展的前景，并未充分考虑到可能存在的阻碍和挑战。在碳中和目标实现过程中，仍然会面临技术、经济、政策等多方面的困难，这些方面也需要更全面地考虑。</w:t>
      </w:r>
    </w:p>
    <w:p>
      <w:pPr>
        <w:jc w:val="both"/>
      </w:pPr>
      <w:r>
        <w:rPr/>
        <w:t xml:space="preserve"/>
      </w:r>
    </w:p>
    <w:p>
      <w:pPr>
        <w:jc w:val="both"/>
      </w:pPr>
      <w:r>
        <w:rPr/>
        <w:t xml:space="preserve">综上所述，尽管这篇文章对中国电力企业向碳中和转型所面临的挑战进行了一定程度上的探讨，但仍存在着一定程度上的片面性和偏见，在进一步研究时需要更加全面客观地审视问题，并充分考虑各种可能因素。</w:t>
      </w:r>
    </w:p>
    <w:p>
      <w:pPr>
        <w:pStyle w:val="Heading1"/>
      </w:pPr>
      <w:bookmarkStart w:id="5" w:name="_Toc5"/>
      <w:r>
        <w:t>Topics for further research:</w:t>
      </w:r>
      <w:bookmarkEnd w:id="5"/>
    </w:p>
    <w:p>
      <w:pPr>
        <w:spacing w:after="0"/>
        <w:numPr>
          <w:ilvl w:val="0"/>
          <w:numId w:val="2"/>
        </w:numPr>
      </w:pPr>
      <w:r>
        <w:rPr/>
        <w:t xml:space="preserve">绿色金融风险和挑战
</w:t>
      </w:r>
    </w:p>
    <w:p>
      <w:pPr>
        <w:spacing w:after="0"/>
        <w:numPr>
          <w:ilvl w:val="0"/>
          <w:numId w:val="2"/>
        </w:numPr>
      </w:pPr>
      <w:r>
        <w:rPr/>
        <w:t xml:space="preserve">利益冲突和利益输送问题
</w:t>
      </w:r>
    </w:p>
    <w:p>
      <w:pPr>
        <w:spacing w:after="0"/>
        <w:numPr>
          <w:ilvl w:val="0"/>
          <w:numId w:val="2"/>
        </w:numPr>
      </w:pPr>
      <w:r>
        <w:rPr/>
        <w:t xml:space="preserve">绿色生产技术改善的实证支持
</w:t>
      </w:r>
    </w:p>
    <w:p>
      <w:pPr>
        <w:spacing w:after="0"/>
        <w:numPr>
          <w:ilvl w:val="0"/>
          <w:numId w:val="2"/>
        </w:numPr>
      </w:pPr>
      <w:r>
        <w:rPr/>
        <w:t xml:space="preserve">清洁能源发展的阻碍和挑战
</w:t>
      </w:r>
    </w:p>
    <w:p>
      <w:pPr>
        <w:spacing w:after="0"/>
        <w:numPr>
          <w:ilvl w:val="0"/>
          <w:numId w:val="2"/>
        </w:numPr>
      </w:pPr>
      <w:r>
        <w:rPr/>
        <w:t xml:space="preserve">碳中和目标实现的技术、经济、政策困难
</w:t>
      </w:r>
    </w:p>
    <w:p>
      <w:pPr>
        <w:numPr>
          <w:ilvl w:val="0"/>
          <w:numId w:val="2"/>
        </w:numPr>
      </w:pPr>
      <w:r>
        <w:rPr/>
        <w:t xml:space="preserve">全面客观审视问题的必要性</w:t>
      </w:r>
    </w:p>
    <w:p>
      <w:pPr>
        <w:pStyle w:val="Heading1"/>
      </w:pPr>
      <w:bookmarkStart w:id="6" w:name="_Toc6"/>
      <w:r>
        <w:t>Report location:</w:t>
      </w:r>
      <w:bookmarkEnd w:id="6"/>
    </w:p>
    <w:p>
      <w:hyperlink r:id="rId8" w:history="1">
        <w:r>
          <w:rPr>
            <w:color w:val="2980b9"/>
            <w:u w:val="single"/>
          </w:rPr>
          <w:t xml:space="preserve">https://www.fullpicture.app/item/f54ec60000fe587d590537a398e7cd90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12E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17412/" TargetMode="External"/><Relationship Id="rId8" Type="http://schemas.openxmlformats.org/officeDocument/2006/relationships/hyperlink" Target="https://www.fullpicture.app/item/f54ec60000fe587d590537a398e7cd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2024-04-30T02:55:58+02:00</dcterms:created>
  <dcterms:modified xsi:type="dcterms:W3CDTF">2024-04-30T02:55:58+02:00</dcterms:modified>
</cp:coreProperties>
</file>

<file path=docProps/custom.xml><?xml version="1.0" encoding="utf-8"?>
<Properties xmlns="http://schemas.openxmlformats.org/officeDocument/2006/custom-properties" xmlns:vt="http://schemas.openxmlformats.org/officeDocument/2006/docPropsVTypes"/>
</file>